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252F" w:rsidR="14329E7E" w:rsidP="150C9677" w:rsidRDefault="3B4DE35E" w14:paraId="03A2C060" w14:textId="5DCB8F19">
      <w:pPr>
        <w:spacing w:after="60"/>
        <w:jc w:val="both"/>
        <w:rPr>
          <w:rFonts w:ascii="Calibri" w:hAnsi="Calibri" w:eastAsia="Calibri" w:cs="Calibri"/>
          <w:color w:val="2E5266"/>
          <w:sz w:val="22"/>
          <w:szCs w:val="22"/>
        </w:rPr>
      </w:pPr>
      <w:r w:rsidRPr="0068252F">
        <w:rPr>
          <w:rFonts w:ascii="Calibri" w:hAnsi="Calibri" w:eastAsia="Calibri" w:cs="Calibri"/>
          <w:b/>
          <w:bCs/>
          <w:color w:val="2E5266"/>
          <w:sz w:val="22"/>
          <w:szCs w:val="22"/>
          <w:lang w:val="es-CO"/>
        </w:rPr>
        <w:t>TRANSPARENCIA DEL PROCESO · INSUMO 3</w:t>
      </w:r>
    </w:p>
    <w:p w:rsidRPr="0068252F" w:rsidR="14329E7E" w:rsidP="7CD87FBD" w:rsidRDefault="0068252F" w14:paraId="313C712F" w14:textId="4A9ABB40">
      <w:pPr>
        <w:spacing w:after="12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0068252F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s-CO"/>
        </w:rPr>
        <w:t>Directrices de fortalecimiento de la transparencia en diálogos ambientales multiactor</w:t>
      </w:r>
    </w:p>
    <w:p w:rsidRPr="001C36C5" w:rsidR="14329E7E" w:rsidP="0068252F" w:rsidRDefault="0068252F" w14:paraId="41AF7367" w14:textId="6BCDAA17">
      <w:pPr>
        <w:spacing w:after="0" w:line="300" w:lineRule="atLeast"/>
        <w:rPr>
          <w:rFonts w:ascii="Calibri" w:hAnsi="Calibri" w:eastAsia="Times New Roman" w:cs="Calibri"/>
          <w:i/>
          <w:iCs/>
          <w:sz w:val="22"/>
          <w:szCs w:val="22"/>
          <w:lang w:val="es-CO" w:eastAsia="es-CO"/>
        </w:rPr>
      </w:pPr>
      <w:r w:rsidRPr="0068252F">
        <w:rPr>
          <w:rFonts w:ascii="Calibri" w:hAnsi="Calibri" w:eastAsia="Times New Roman" w:cs="Calibri"/>
          <w:i/>
          <w:iCs/>
          <w:sz w:val="22"/>
          <w:szCs w:val="22"/>
          <w:lang w:val="es-CO" w:eastAsia="es-CO"/>
        </w:rPr>
        <w:t>Revisen conjuntamente estas directrices y realicen una lluvia de ideas sobre cuáles aplicar en su proceso de diálogo. Seleccionen aquellas que sean viables, pertinentes y con mayor potencial para mejorar la transparencia entre los actores.</w:t>
      </w:r>
    </w:p>
    <w:p w:rsidRPr="0068252F" w:rsidR="14329E7E" w:rsidP="7CD87FBD" w:rsidRDefault="14329E7E" w14:paraId="62387F79" w14:textId="4B126791">
      <w:pPr>
        <w:spacing w:after="240"/>
        <w:jc w:val="both"/>
        <w:rPr>
          <w:rFonts w:ascii="Calibri" w:hAnsi="Calibri" w:eastAsia="Calibri" w:cs="Calibri"/>
          <w:color w:val="666666"/>
          <w:sz w:val="22"/>
          <w:szCs w:val="22"/>
        </w:rPr>
      </w:pPr>
      <w:r w:rsidRPr="0068252F">
        <w:rPr>
          <w:rFonts w:ascii="Calibri" w:hAnsi="Calibri" w:eastAsia="Calibri" w:cs="Calibri"/>
          <w:color w:val="666666"/>
          <w:sz w:val="22"/>
          <w:szCs w:val="22"/>
          <w:lang w:val="es-CO"/>
        </w:rPr>
        <w:t>NIMD Colombia · GIZ · 2026</w:t>
      </w:r>
    </w:p>
    <w:p w:rsidRPr="003E2F9F" w:rsidR="508A7DDD" w:rsidP="12C080E8" w:rsidRDefault="0F933366" w14:paraId="26F4E28D" w14:textId="250F9B12">
      <w:pPr>
        <w:spacing w:after="240"/>
        <w:jc w:val="both"/>
        <w:rPr>
          <w:rFonts w:ascii="Calibri Bold" w:hAnsi="Calibri Bold" w:eastAsia="Calibri" w:cs="Calibri"/>
          <w:color w:val="0F4761" w:themeColor="accent1" w:themeShade="BF"/>
        </w:rPr>
      </w:pPr>
      <w:r w:rsidRPr="275CE959" w:rsidR="0F933366">
        <w:rPr>
          <w:rFonts w:ascii="Calibri Bold" w:hAnsi="Calibri Bold" w:eastAsia="Calibri" w:cs="Calibri"/>
          <w:color w:val="0F4761" w:themeColor="accent1" w:themeTint="FF" w:themeShade="BF"/>
        </w:rPr>
        <w:t>¿Qu</w:t>
      </w:r>
      <w:r w:rsidRPr="275CE959" w:rsidR="7838E0C0">
        <w:rPr>
          <w:rFonts w:ascii="Calibri Bold" w:hAnsi="Calibri Bold" w:eastAsia="Calibri" w:cs="Calibri"/>
          <w:color w:val="0F4761" w:themeColor="accent1" w:themeTint="FF" w:themeShade="BF"/>
        </w:rPr>
        <w:t>é</w:t>
      </w:r>
      <w:r w:rsidRPr="275CE959" w:rsidR="0F933366">
        <w:rPr>
          <w:rFonts w:ascii="Calibri Bold" w:hAnsi="Calibri Bold" w:eastAsia="Calibri" w:cs="Calibri"/>
          <w:color w:val="0F4761" w:themeColor="accent1" w:themeTint="FF" w:themeShade="BF"/>
        </w:rPr>
        <w:t xml:space="preserve"> son las</w:t>
      </w:r>
      <w:r w:rsidRPr="275CE959" w:rsidR="2B0297C4">
        <w:rPr>
          <w:rFonts w:ascii="Calibri Bold" w:hAnsi="Calibri Bold" w:eastAsia="Calibri" w:cs="Calibri"/>
          <w:color w:val="0F4761" w:themeColor="accent1" w:themeTint="FF" w:themeShade="BF"/>
        </w:rPr>
        <w:t xml:space="preserve"> Directrices de Bali</w:t>
      </w:r>
      <w:r w:rsidRPr="275CE959" w:rsidR="1A5E7124">
        <w:rPr>
          <w:rFonts w:ascii="Calibri Bold" w:hAnsi="Calibri Bold" w:eastAsia="Calibri" w:cs="Calibri"/>
          <w:color w:val="0F4761" w:themeColor="accent1" w:themeTint="FF" w:themeShade="BF"/>
        </w:rPr>
        <w:t>?</w:t>
      </w:r>
    </w:p>
    <w:p w:rsidRPr="0068252F" w:rsidR="508A7DDD" w:rsidP="7CD87FBD" w:rsidRDefault="0068252F" w14:paraId="455068AD" w14:textId="1B872494">
      <w:pPr>
        <w:spacing w:after="240"/>
        <w:jc w:val="both"/>
        <w:rPr>
          <w:rFonts w:ascii="Calibri" w:hAnsi="Calibri" w:eastAsia="Calibri" w:cs="Calibri"/>
          <w:sz w:val="22"/>
          <w:szCs w:val="22"/>
        </w:rPr>
      </w:pPr>
      <w:r w:rsidRPr="0068252F">
        <w:rPr>
          <w:rFonts w:ascii="Calibri" w:hAnsi="Calibri" w:eastAsia="Calibri" w:cs="Calibri"/>
          <w:sz w:val="22"/>
          <w:szCs w:val="22"/>
        </w:rPr>
        <w:t>Se crearon por el</w:t>
      </w:r>
      <w:r w:rsidRPr="0068252F" w:rsidR="2B0297C4">
        <w:rPr>
          <w:rFonts w:ascii="Calibri" w:hAnsi="Calibri" w:eastAsia="Calibri" w:cs="Calibri"/>
          <w:sz w:val="22"/>
          <w:szCs w:val="22"/>
        </w:rPr>
        <w:t xml:space="preserve"> Programa de las Naciones Unidas para el Medio Ambiente (PNUMA</w:t>
      </w:r>
      <w:r w:rsidRPr="0068252F">
        <w:rPr>
          <w:rFonts w:ascii="Calibri" w:hAnsi="Calibri" w:eastAsia="Calibri" w:cs="Calibri"/>
          <w:sz w:val="22"/>
          <w:szCs w:val="22"/>
        </w:rPr>
        <w:t>)</w:t>
      </w:r>
      <w:r w:rsidRPr="0068252F" w:rsidR="5823B823">
        <w:rPr>
          <w:rFonts w:ascii="Calibri" w:hAnsi="Calibri" w:eastAsia="Calibri" w:cs="Calibri"/>
          <w:sz w:val="22"/>
          <w:szCs w:val="22"/>
        </w:rPr>
        <w:t xml:space="preserve"> para </w:t>
      </w:r>
      <w:r w:rsidRPr="0068252F" w:rsidR="2B0297C4">
        <w:rPr>
          <w:rFonts w:ascii="Calibri" w:hAnsi="Calibri" w:eastAsia="Calibri" w:cs="Calibri"/>
          <w:sz w:val="22"/>
          <w:szCs w:val="22"/>
        </w:rPr>
        <w:t>garantizar el acceso a la información, la participación pública y el acceso a la justicia en materia ambiental.</w:t>
      </w:r>
    </w:p>
    <w:p w:rsidRPr="003E2F9F" w:rsidR="0068252F" w:rsidP="0068252F" w:rsidRDefault="0068252F" w14:paraId="0B571638" w14:textId="00C5F370">
      <w:pPr>
        <w:spacing w:line="300" w:lineRule="atLeast"/>
        <w:rPr>
          <w:rFonts w:ascii="Calibri Bold" w:hAnsi="Calibri Bold" w:eastAsia="Times New Roman" w:cs="Calibri"/>
          <w:color w:val="0F4761" w:themeColor="accent1" w:themeShade="BF"/>
          <w:lang w:val="es-CO" w:eastAsia="es-CO"/>
        </w:rPr>
      </w:pPr>
      <w:r w:rsidRPr="003E2F9F">
        <w:rPr>
          <w:rFonts w:ascii="Calibri Bold" w:hAnsi="Calibri Bold" w:eastAsia="Calibri" w:cs="Calibri"/>
          <w:color w:val="0F4761" w:themeColor="accent1" w:themeShade="BF"/>
        </w:rPr>
        <w:t>¿</w:t>
      </w:r>
      <w:r w:rsidRPr="003E2F9F">
        <w:rPr>
          <w:rFonts w:ascii="Calibri Bold" w:hAnsi="Calibri Bold" w:eastAsia="Times New Roman" w:cs="Calibri"/>
          <w:color w:val="0F4761" w:themeColor="accent1" w:themeShade="BF"/>
          <w:lang w:val="es-CO" w:eastAsia="es-CO"/>
        </w:rPr>
        <w:t>Para qué sirve esta herramienta</w:t>
      </w:r>
      <w:r w:rsidRPr="003E2F9F">
        <w:rPr>
          <w:rFonts w:ascii="Calibri Bold" w:hAnsi="Calibri Bold" w:eastAsia="Calibri" w:cs="Calibri"/>
          <w:color w:val="0F4761" w:themeColor="accent1" w:themeShade="BF"/>
        </w:rPr>
        <w:t>?</w:t>
      </w:r>
    </w:p>
    <w:p w:rsidRPr="0068252F" w:rsidR="0068252F" w:rsidP="611552CB" w:rsidRDefault="0068252F" w14:paraId="092B9776" w14:textId="3665B1FA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</w:pP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La transparencia depen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de de 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garantizar que </w:t>
      </w:r>
      <w:r w:rsidRPr="611552CB" w:rsidR="2DA797C2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la información 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sea accesible, comprensible y utilizable por todos los actores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en condiciones equitativas.</w:t>
      </w:r>
    </w:p>
    <w:p w:rsidRPr="0068252F" w:rsidR="0068252F" w:rsidP="611552CB" w:rsidRDefault="0068252F" w14:paraId="67FF8102" w14:textId="519FA989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1"/>
          <w:szCs w:val="21"/>
          <w:lang w:val="es-CO" w:eastAsia="es-CO"/>
        </w:rPr>
      </w:pP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En los procesos de diálogo 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multiactor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, la falta de transparencia</w:t>
      </w:r>
      <w:r w:rsidRPr="611552CB" w:rsidR="71172D54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 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reproduce asimetrías de poder,</w:t>
      </w:r>
      <w:r w:rsidRPr="611552CB" w:rsidR="2A562C0A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 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limita la participación efectiva</w:t>
      </w:r>
      <w:r w:rsidRPr="611552CB" w:rsidR="2AD51900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 y 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debilita la legitimidad de los acuerdos.</w:t>
      </w:r>
    </w:p>
    <w:p w:rsidRPr="0068252F" w:rsidR="0068252F" w:rsidP="611552CB" w:rsidRDefault="0068252F" w14:paraId="2BA96068" w14:textId="51BB61B5">
      <w:pPr>
        <w:spacing w:beforeAutospacing="on" w:afterAutospacing="on" w:line="300" w:lineRule="atLeast"/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</w:pP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>Esta herramienta propone un conjunto d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e 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directrices operativas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que pueden ser 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adaptadas y priorizadas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por los convocantes según su contexto, recursos y</w:t>
      </w:r>
      <w:r w:rsidRPr="611552CB" w:rsidR="278A5CFE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el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nivel de avance del proceso.</w:t>
      </w:r>
    </w:p>
    <w:p w:rsidRPr="0068252F" w:rsidR="0068252F" w:rsidP="275CE959" w:rsidRDefault="0068252F" w14:paraId="651194A4" w14:textId="1B4E0070">
      <w:pPr>
        <w:pStyle w:val="Normal"/>
        <w:spacing w:line="300" w:lineRule="atLeast"/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</w:pPr>
      <w:r w:rsidRPr="611552CB" w:rsidR="67EF6D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A5C00"/>
          <w:sz w:val="22"/>
          <w:szCs w:val="22"/>
          <w:lang w:val="es-ES"/>
        </w:rPr>
        <w:t xml:space="preserve">▸ TEN EN CUENTA: 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La transparencia </w:t>
      </w:r>
      <w:r w:rsidRPr="611552CB" w:rsidR="41860EEA">
        <w:rPr>
          <w:rFonts w:ascii="Calibri" w:hAnsi="Calibri" w:eastAsia="Times New Roman" w:cs="Calibri"/>
          <w:sz w:val="21"/>
          <w:szCs w:val="21"/>
          <w:lang w:val="es-CO" w:eastAsia="es-CO"/>
        </w:rPr>
        <w:t>busca</w:t>
      </w:r>
      <w:r w:rsidRPr="611552CB" w:rsidR="0068252F">
        <w:rPr>
          <w:rFonts w:ascii="Calibri" w:hAnsi="Calibri" w:eastAsia="Times New Roman" w:cs="Calibri"/>
          <w:sz w:val="21"/>
          <w:szCs w:val="21"/>
          <w:lang w:val="es-CO" w:eastAsia="es-CO"/>
        </w:rPr>
        <w:t xml:space="preserve"> que todas las personas pueda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n 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acceder</w:t>
      </w:r>
      <w:r w:rsidRPr="611552CB" w:rsidR="0B24E284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a</w:t>
      </w:r>
      <w:r w:rsidRPr="611552CB" w:rsidR="66569ADC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la información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, entender</w:t>
      </w:r>
      <w:r w:rsidRPr="611552CB" w:rsidR="52B08673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la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 xml:space="preserve"> y usar</w:t>
      </w:r>
      <w:r w:rsidRPr="611552CB" w:rsidR="6A182C5C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l</w:t>
      </w:r>
      <w:r w:rsidRPr="611552CB" w:rsidR="0068252F">
        <w:rPr>
          <w:rFonts w:ascii="Calibri" w:hAnsi="Calibri" w:eastAsia="Times New Roman" w:cs="Calibri"/>
          <w:b w:val="0"/>
          <w:bCs w:val="0"/>
          <w:sz w:val="21"/>
          <w:szCs w:val="21"/>
          <w:lang w:val="es-CO" w:eastAsia="es-CO"/>
        </w:rPr>
        <w:t>a para incidir en las decisiones.</w:t>
      </w:r>
    </w:p>
    <w:p w:rsidRPr="001C36C5" w:rsidR="0068252F" w:rsidP="003E2F9F" w:rsidRDefault="0068252F" w14:paraId="6A4BE4BB" w14:textId="6136515D">
      <w:pPr>
        <w:pStyle w:val="Ttulo2"/>
        <w:spacing w:line="300" w:lineRule="atLeast"/>
        <w:rPr>
          <w:rFonts w:ascii="Calibri Bold" w:hAnsi="Calibri Bold" w:cs="Calibri"/>
          <w:sz w:val="24"/>
          <w:szCs w:val="24"/>
        </w:rPr>
      </w:pPr>
      <w:r w:rsidRPr="001C36C5">
        <w:rPr>
          <w:rFonts w:ascii="Calibri Bold" w:hAnsi="Calibri Bold" w:cs="Calibri"/>
          <w:sz w:val="24"/>
          <w:szCs w:val="24"/>
        </w:rPr>
        <w:t>¿Cómo usar esta herramienta?</w:t>
      </w:r>
    </w:p>
    <w:p w:rsidR="003E2F9F" w:rsidP="001C36C5" w:rsidRDefault="0068252F" w14:paraId="21147418" w14:textId="77777777">
      <w:pPr>
        <w:spacing w:after="0" w:line="300" w:lineRule="atLeast"/>
        <w:rPr>
          <w:rStyle w:val="Textoennegrita"/>
          <w:rFonts w:ascii="Calibri" w:hAnsi="Calibri" w:cs="Calibri"/>
          <w:sz w:val="21"/>
          <w:szCs w:val="21"/>
        </w:rPr>
      </w:pPr>
      <w:r w:rsidRPr="0068252F">
        <w:rPr>
          <w:rStyle w:val="Textoennegrita"/>
          <w:rFonts w:ascii="Calibri" w:hAnsi="Calibri" w:cs="Calibri"/>
          <w:sz w:val="21"/>
          <w:szCs w:val="21"/>
        </w:rPr>
        <w:t>Paso 1:</w:t>
      </w:r>
    </w:p>
    <w:p w:rsidR="0068252F" w:rsidP="003E2F9F" w:rsidRDefault="0068252F" w14:paraId="7C92C83A" w14:textId="7C62D6D2">
      <w:pPr>
        <w:pStyle w:val="Prrafodelista"/>
        <w:numPr>
          <w:ilvl w:val="0"/>
          <w:numId w:val="7"/>
        </w:numPr>
        <w:spacing w:after="100" w:afterAutospacing="1" w:line="300" w:lineRule="atLeast"/>
        <w:rPr>
          <w:rStyle w:val="Textoennegrita"/>
          <w:rFonts w:ascii="Calibri" w:hAnsi="Calibri" w:cs="Calibri"/>
          <w:b w:val="0"/>
          <w:bCs w:val="0"/>
          <w:sz w:val="22"/>
          <w:szCs w:val="22"/>
        </w:rPr>
      </w:pPr>
      <w:r w:rsidRPr="003E2F9F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>Reúnan al equipo convocante o facilitador</w:t>
      </w:r>
      <w:r w:rsidR="003E2F9F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 xml:space="preserve"> para hacer lectura </w:t>
      </w:r>
      <w:r w:rsidRPr="003E2F9F" w:rsidR="003E2F9F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>en conjunto de las directrices presentadas a continuación:</w:t>
      </w:r>
    </w:p>
    <w:tbl>
      <w:tblPr>
        <w:tblStyle w:val="GridTable4-Accent4"/>
        <w:tblW w:w="9640" w:type="dxa"/>
        <w:tblInd w:w="-431" w:type="dxa"/>
        <w:tblBorders/>
        <w:tblLook w:val="04A0" w:firstRow="1" w:lastRow="0" w:firstColumn="1" w:lastColumn="0" w:noHBand="0" w:noVBand="1"/>
      </w:tblPr>
      <w:tblGrid>
        <w:gridCol w:w="9640"/>
      </w:tblGrid>
      <w:tr w:rsidR="275CE959" w:rsidTr="611552CB" w14:paraId="0BBCB3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5B921BC1" w14:textId="79E02C91">
            <w:pPr>
              <w:pStyle w:val="Ttulo2"/>
              <w:keepNext w:val="1"/>
              <w:keepLines w:val="1"/>
              <w:spacing w:before="0" w:after="0" w:line="276" w:lineRule="auto"/>
              <w:rPr>
                <w:rFonts w:ascii="Calibri_MSFontService" w:hAnsi="Calibri_MSFontService" w:eastAsia="Calibri_MSFontService" w:cs="Calibri_MSFontService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275CE959" w:rsidR="275CE959">
              <w:rPr>
                <w:rFonts w:ascii="Calibri_MSFontService" w:hAnsi="Calibri_MSFontService" w:eastAsia="Calibri_MSFontService" w:cs="Calibri_MSFontService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s-ES"/>
              </w:rPr>
              <w:t xml:space="preserve">       Directrices para fortalecer la transparencia del proceso</w:t>
            </w:r>
          </w:p>
        </w:tc>
      </w:tr>
      <w:tr w:rsidR="275CE959" w:rsidTr="611552CB" w14:paraId="517671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7D28F02E" w14:textId="14706531">
            <w:pPr>
              <w:pStyle w:val="Prrafodelista"/>
              <w:numPr>
                <w:ilvl w:val="0"/>
                <w:numId w:val="13"/>
              </w:numPr>
              <w:spacing w:before="8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E5266"/>
                <w:sz w:val="22"/>
                <w:szCs w:val="22"/>
                <w:lang w:val="es-ES"/>
              </w:rPr>
              <w:t>Compartir repositorios de información</w:t>
            </w:r>
          </w:p>
        </w:tc>
      </w:tr>
      <w:tr w:rsidR="275CE959" w:rsidTr="611552CB" w14:paraId="151BF1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882C7CF" w14:textId="4F9BF100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Acceso abierto a la información del proceso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Crear un repositorio compartido (físico o digital) donde todos los actores puedan consultar documentos clave del proceso.</w:t>
            </w:r>
          </w:p>
        </w:tc>
      </w:tr>
      <w:tr w:rsidR="275CE959" w:rsidTr="611552CB" w14:paraId="4ACD74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3C8B80C" w14:textId="4CBB8933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Organización clara de la información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Clasificar la información por temas (ambientales, normativos, técnicos, acuerdos) para facilitar su búsqueda y uso.</w:t>
            </w:r>
          </w:p>
          <w:p w:rsidR="275CE959" w:rsidP="275CE959" w:rsidRDefault="275CE959" w14:paraId="7DF9A947" w14:textId="4EE38C9F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Actualización periódica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Mantener la información actualizada para evitar decisiones basadas en datos incompletos o desactualizados.</w:t>
            </w:r>
          </w:p>
        </w:tc>
      </w:tr>
      <w:tr w:rsidR="275CE959" w:rsidTr="611552CB" w14:paraId="360A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07B71B1" w14:textId="5155A726">
            <w:pPr>
              <w:pStyle w:val="Prrafodelista"/>
              <w:numPr>
                <w:ilvl w:val="0"/>
                <w:numId w:val="13"/>
              </w:numPr>
              <w:spacing w:before="8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2E5266"/>
                <w:sz w:val="22"/>
                <w:szCs w:val="22"/>
                <w:lang w:val="es-ES"/>
              </w:rPr>
              <w:t>Implementar transparencia activa</w:t>
            </w:r>
          </w:p>
        </w:tc>
      </w:tr>
      <w:tr w:rsidR="275CE959" w:rsidTr="611552CB" w14:paraId="2647D4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611552CB" w:rsidRDefault="275CE959" w14:paraId="33F0B807" w14:textId="062251E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08" w:right="0"/>
              <w:jc w:val="left"/>
            </w:pPr>
            <w:r w:rsidRPr="611552CB" w:rsidR="557CB563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Entrega de información </w:t>
            </w:r>
            <w:r w:rsidRPr="611552CB" w:rsidR="733FE9C8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activa</w:t>
            </w:r>
          </w:p>
          <w:p w:rsidR="275CE959" w:rsidP="611552CB" w:rsidRDefault="275CE959" w14:paraId="66FB0A87" w14:textId="24632FE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08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1552CB" w:rsidR="557CB5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Poner a disposición la información relevante sin esperar a que los actores la pidan.</w:t>
            </w:r>
          </w:p>
        </w:tc>
      </w:tr>
      <w:tr w:rsidR="275CE959" w:rsidTr="611552CB" w14:paraId="1C985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B72C0E3" w14:textId="39F30107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Lenguaje claro y comprensible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Asegurar que la información no sea solo técnica: debe poder ser entendida por actores no especializados.</w:t>
            </w:r>
          </w:p>
        </w:tc>
      </w:tr>
      <w:tr w:rsidR="275CE959" w:rsidTr="611552CB" w14:paraId="538610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151F6B6" w14:textId="34C7DACC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Comunicación oportuna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Compartir información con suficiente anticipación para que los participantes puedan prepararse antes de los espacios de diálogo.</w:t>
            </w:r>
          </w:p>
        </w:tc>
      </w:tr>
      <w:tr w:rsidR="275CE959" w:rsidTr="611552CB" w14:paraId="507B24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5B4CEE22" w14:textId="278F257C">
            <w:pPr>
              <w:pStyle w:val="Prrafodelista"/>
              <w:numPr>
                <w:ilvl w:val="0"/>
                <w:numId w:val="13"/>
              </w:numPr>
              <w:spacing w:before="8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2E5266"/>
                <w:sz w:val="22"/>
                <w:szCs w:val="22"/>
                <w:lang w:val="es-ES"/>
              </w:rPr>
              <w:t>Establecer criterios claros de acceso a la información</w:t>
            </w:r>
          </w:p>
        </w:tc>
      </w:tr>
      <w:tr w:rsidR="275CE959" w:rsidTr="611552CB" w14:paraId="20AD5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70D48ADD" w14:textId="3B9623A0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Definición compartida de qué información es relevante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Acordar entre los actores qué tipo de información debe circular dentro del proceso.</w:t>
            </w:r>
          </w:p>
        </w:tc>
      </w:tr>
      <w:tr w:rsidR="275CE959" w:rsidTr="611552CB" w14:paraId="2263A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6668FC5" w14:textId="6EC4357A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Transparencia en posibles restricciones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Explicar claramente si alguna información no puede compartirse y por qué.</w:t>
            </w:r>
          </w:p>
        </w:tc>
      </w:tr>
      <w:tr w:rsidR="275CE959" w:rsidTr="611552CB" w14:paraId="6432A5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7E520403" w14:textId="1519BF33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Reglas claras de uso y difusión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Establecer acuerdos sobre cómo se puede utilizar y circular la información generada en el proceso.</w:t>
            </w:r>
          </w:p>
        </w:tc>
      </w:tr>
      <w:tr w:rsidR="275CE959" w:rsidTr="611552CB" w14:paraId="6829F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58594ACB" w14:textId="75AB9C93">
            <w:pPr>
              <w:pStyle w:val="Prrafodelista"/>
              <w:numPr>
                <w:ilvl w:val="0"/>
                <w:numId w:val="13"/>
              </w:numPr>
              <w:spacing w:before="8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2E5266"/>
                <w:sz w:val="22"/>
                <w:szCs w:val="22"/>
                <w:lang w:val="es-ES"/>
              </w:rPr>
              <w:t>Garantizar acceso equitativo a la información</w:t>
            </w:r>
          </w:p>
        </w:tc>
      </w:tr>
      <w:tr w:rsidR="275CE959" w:rsidTr="611552CB" w14:paraId="2D5145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78E7C6E" w14:textId="3D9372D1">
            <w:pPr>
              <w:spacing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Adaptación a diferentes capacidades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- Ajustar formatos (visual, oral, escrito) según las capacidades de los actores participantes</w:t>
            </w:r>
          </w:p>
        </w:tc>
      </w:tr>
      <w:tr w:rsidR="275CE959" w:rsidTr="611552CB" w14:paraId="0ADDB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357C8B5" w14:textId="7659CD3D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Nivelación de información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Realizar espacios de explicación o inducción para actores con menor acceso a información técnica.</w:t>
            </w:r>
          </w:p>
        </w:tc>
      </w:tr>
      <w:tr w:rsidR="275CE959" w:rsidTr="611552CB" w14:paraId="68220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5D5D414E" w14:textId="47A22059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Acompañamiento a actores menos representados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Asegurar que tengan espacios para comprender la información antes de las decisiones.</w:t>
            </w:r>
          </w:p>
        </w:tc>
      </w:tr>
      <w:tr w:rsidR="275CE959" w:rsidTr="611552CB" w14:paraId="5AD859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1D3A938F" w14:textId="673B9DA3">
            <w:pPr>
              <w:pStyle w:val="Ttulo3"/>
              <w:keepNext w:val="1"/>
              <w:keepLines w:val="1"/>
              <w:numPr>
                <w:ilvl w:val="0"/>
                <w:numId w:val="13"/>
              </w:numPr>
              <w:spacing w:before="8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2E5266"/>
                <w:sz w:val="22"/>
                <w:szCs w:val="22"/>
                <w:lang w:val="es-ES"/>
              </w:rPr>
              <w:t>Asegurar condiciones equitativas de incidencia</w:t>
            </w:r>
          </w:p>
        </w:tc>
      </w:tr>
      <w:tr w:rsidR="275CE959" w:rsidTr="611552CB" w14:paraId="3EB27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F4FDBA5" w14:textId="44AFD525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Igualdad en el uso de la información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Garantizar que todos los actores tengan el mismo acceso a los insumos antes de tomar decisiones.</w:t>
            </w:r>
          </w:p>
        </w:tc>
      </w:tr>
      <w:tr w:rsidR="275CE959" w:rsidTr="611552CB" w14:paraId="432326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2500DD8" w14:textId="50B386E0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Espacios para el uso de la información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Diseñar momentos metodológicos donde los actores puedan discutir, interpretar y cuestionar la información.</w:t>
            </w:r>
          </w:p>
        </w:tc>
      </w:tr>
      <w:tr w:rsidR="275CE959" w:rsidTr="611552CB" w14:paraId="3FE1E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0EF5358B" w14:textId="0076E3A5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Reconocimiento de saberes diversos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-Valorar tanto el conocimiento técnico como el conocimiento local en igualdad de condiciones.</w:t>
            </w:r>
          </w:p>
        </w:tc>
      </w:tr>
      <w:tr w:rsidR="275CE959" w:rsidTr="611552CB" w14:paraId="67C5AA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63294F2D" w14:textId="646855D5">
            <w:pPr>
              <w:pStyle w:val="Ttulo3"/>
              <w:keepNext w:val="1"/>
              <w:keepLines w:val="1"/>
              <w:numPr>
                <w:ilvl w:val="0"/>
                <w:numId w:val="13"/>
              </w:numPr>
              <w:spacing w:before="8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E5266"/>
                <w:sz w:val="22"/>
                <w:szCs w:val="22"/>
              </w:rPr>
            </w:pPr>
            <w:r w:rsidRPr="275CE959" w:rsidR="275CE9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2E5266"/>
                <w:sz w:val="22"/>
                <w:szCs w:val="22"/>
                <w:lang w:val="es-ES"/>
              </w:rPr>
              <w:t>Devolver información sobre decisiones tomadas</w:t>
            </w:r>
          </w:p>
        </w:tc>
      </w:tr>
      <w:tr w:rsidR="275CE959" w:rsidTr="611552CB" w14:paraId="4BA396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2097976C" w14:textId="24BDCF67">
            <w:pPr>
              <w:spacing w:before="0" w:beforeAutospacing="off" w:after="0" w:afterAutospacing="off" w:line="276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Retroalimentación clara a los participantes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Explicar qué decisiones se tomaron y en qué se basaron.</w:t>
            </w:r>
          </w:p>
        </w:tc>
      </w:tr>
      <w:tr w:rsidR="275CE959" w:rsidTr="611552CB" w14:paraId="40125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CF77D6D" w14:textId="2A391069">
            <w:pPr>
              <w:spacing w:beforeAutospacing="on" w:afterAutospacing="on" w:line="300" w:lineRule="atLeast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Uso visible de los aportes recibidos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Mostrar cómo los comentarios de los actores influyeron en los resultados.</w:t>
            </w:r>
          </w:p>
        </w:tc>
      </w:tr>
      <w:tr w:rsidR="275CE959" w:rsidTr="611552CB" w14:paraId="152564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Mar/>
          </w:tcPr>
          <w:p w:rsidR="275CE959" w:rsidP="275CE959" w:rsidRDefault="275CE959" w14:paraId="3E2CC6A9" w14:textId="17CA4DFA">
            <w:pPr>
              <w:spacing w:beforeAutospacing="on" w:afterAutospacing="on" w:line="300" w:lineRule="atLeast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5CE959" w:rsidR="275CE959">
              <w:rPr>
                <w:rStyle w:val="Textoennegrita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Transparencia en desacuerdos</w:t>
            </w:r>
            <w:r>
              <w:br/>
            </w:r>
            <w:r w:rsidRPr="275CE959" w:rsidR="275CE9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- Registrar también los puntos donde no hubo consenso.</w:t>
            </w:r>
          </w:p>
        </w:tc>
      </w:tr>
    </w:tbl>
    <w:p w:rsidRPr="001C36C5" w:rsidR="00270AB9" w:rsidP="275CE959" w:rsidRDefault="00270AB9" w14:paraId="23DD2BF1" w14:textId="25E516EC">
      <w:pPr>
        <w:pStyle w:val="Normal"/>
        <w:spacing w:before="100" w:beforeAutospacing="on" w:after="0" w:line="300" w:lineRule="atLeast"/>
        <w:rPr>
          <w:rFonts w:ascii="Calibri" w:hAnsi="Calibri" w:cs="Calibri"/>
          <w:b w:val="1"/>
          <w:bCs w:val="1"/>
          <w:sz w:val="22"/>
          <w:szCs w:val="22"/>
        </w:rPr>
      </w:pPr>
      <w:r w:rsidRPr="275CE959" w:rsidR="00270AB9">
        <w:rPr>
          <w:rFonts w:ascii="Calibri" w:hAnsi="Calibri" w:cs="Calibri"/>
          <w:b w:val="1"/>
          <w:bCs w:val="1"/>
          <w:sz w:val="22"/>
          <w:szCs w:val="22"/>
        </w:rPr>
        <w:t>Paso 2:</w:t>
      </w:r>
    </w:p>
    <w:p w:rsidRPr="001C36C5" w:rsidR="0068252F" w:rsidP="001C36C5" w:rsidRDefault="0068252F" w14:paraId="0B8DCD90" w14:textId="7A3BC3CC">
      <w:pPr>
        <w:pStyle w:val="Prrafodelista"/>
        <w:numPr>
          <w:ilvl w:val="0"/>
          <w:numId w:val="7"/>
        </w:numPr>
        <w:spacing w:after="0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 xml:space="preserve">Realicen una </w:t>
      </w:r>
      <w:r w:rsidRPr="001C36C5">
        <w:rPr>
          <w:rStyle w:val="Textoennegrita"/>
          <w:rFonts w:ascii="Calibri" w:hAnsi="Calibri" w:cs="Calibri"/>
          <w:sz w:val="22"/>
          <w:szCs w:val="22"/>
        </w:rPr>
        <w:t>lluvia de ideas</w:t>
      </w:r>
      <w:r w:rsidRPr="001C36C5">
        <w:rPr>
          <w:rFonts w:ascii="Calibri" w:hAnsi="Calibri" w:cs="Calibri"/>
          <w:sz w:val="22"/>
          <w:szCs w:val="22"/>
        </w:rPr>
        <w:t xml:space="preserve"> </w:t>
      </w:r>
      <w:r w:rsidRPr="001C36C5" w:rsidR="00270AB9">
        <w:rPr>
          <w:rFonts w:ascii="Calibri" w:hAnsi="Calibri" w:cs="Calibri"/>
          <w:sz w:val="22"/>
          <w:szCs w:val="22"/>
        </w:rPr>
        <w:t>realizándose las siguientes preguntas a la hora de lanzar sus ideas al</w:t>
      </w:r>
      <w:r w:rsidRPr="001C36C5" w:rsidR="00270AB9">
        <w:rPr>
          <w:rFonts w:ascii="Calibri" w:hAnsi="Calibri" w:cs="Calibri"/>
          <w:sz w:val="22"/>
          <w:szCs w:val="22"/>
        </w:rPr>
        <w:t xml:space="preserve"> grupo</w:t>
      </w:r>
      <w:r w:rsidRPr="001C36C5">
        <w:rPr>
          <w:rFonts w:ascii="Calibri" w:hAnsi="Calibri" w:cs="Calibri"/>
          <w:sz w:val="22"/>
          <w:szCs w:val="22"/>
        </w:rPr>
        <w:t xml:space="preserve">: </w:t>
      </w:r>
    </w:p>
    <w:p w:rsidRPr="001C36C5" w:rsidR="0068252F" w:rsidP="275CE959" w:rsidRDefault="00270AB9" w14:paraId="5A13D5B1" w14:textId="6188954F">
      <w:pPr>
        <w:numPr>
          <w:ilvl w:val="1"/>
          <w:numId w:val="5"/>
        </w:numPr>
        <w:spacing w:after="100" w:afterAutospacing="on" w:line="300" w:lineRule="atLeast"/>
        <w:rPr>
          <w:rFonts w:ascii="Calibri" w:hAnsi="Calibri" w:cs="Calibri"/>
          <w:sz w:val="22"/>
          <w:szCs w:val="22"/>
        </w:rPr>
      </w:pPr>
      <w:r w:rsidRPr="275CE959" w:rsidR="00270AB9">
        <w:rPr>
          <w:rFonts w:ascii="Calibri" w:hAnsi="Calibri" w:cs="Calibri"/>
          <w:sz w:val="22"/>
          <w:szCs w:val="22"/>
        </w:rPr>
        <w:t>¿</w:t>
      </w:r>
      <w:r w:rsidRPr="275CE959" w:rsidR="24E54D32">
        <w:rPr>
          <w:rFonts w:ascii="Calibri" w:hAnsi="Calibri" w:cs="Calibri"/>
          <w:sz w:val="22"/>
          <w:szCs w:val="22"/>
        </w:rPr>
        <w:t>C</w:t>
      </w:r>
      <w:r w:rsidRPr="275CE959" w:rsidR="0068252F">
        <w:rPr>
          <w:rFonts w:ascii="Calibri" w:hAnsi="Calibri" w:cs="Calibri"/>
          <w:sz w:val="22"/>
          <w:szCs w:val="22"/>
        </w:rPr>
        <w:t>uáles ya se están aplicando</w:t>
      </w:r>
      <w:r w:rsidRPr="275CE959" w:rsidR="00270AB9">
        <w:rPr>
          <w:rFonts w:ascii="Calibri" w:hAnsi="Calibri" w:cs="Calibri"/>
          <w:sz w:val="22"/>
          <w:szCs w:val="22"/>
        </w:rPr>
        <w:t>?</w:t>
      </w:r>
    </w:p>
    <w:p w:rsidRPr="001C36C5" w:rsidR="0068252F" w:rsidP="275CE959" w:rsidRDefault="00270AB9" w14:paraId="45F9D2F9" w14:textId="28748B63">
      <w:pPr>
        <w:numPr>
          <w:ilvl w:val="1"/>
          <w:numId w:val="5"/>
        </w:numPr>
        <w:spacing w:after="100" w:afterAutospacing="on" w:line="300" w:lineRule="atLeast"/>
        <w:rPr>
          <w:rFonts w:ascii="Calibri" w:hAnsi="Calibri" w:cs="Calibri"/>
          <w:sz w:val="22"/>
          <w:szCs w:val="22"/>
        </w:rPr>
      </w:pPr>
      <w:r w:rsidRPr="275CE959" w:rsidR="00270AB9">
        <w:rPr>
          <w:rFonts w:ascii="Calibri" w:hAnsi="Calibri" w:cs="Calibri"/>
          <w:sz w:val="22"/>
          <w:szCs w:val="22"/>
        </w:rPr>
        <w:t>¿</w:t>
      </w:r>
      <w:r w:rsidRPr="275CE959" w:rsidR="30764C8C">
        <w:rPr>
          <w:rFonts w:ascii="Calibri" w:hAnsi="Calibri" w:cs="Calibri"/>
          <w:sz w:val="22"/>
          <w:szCs w:val="22"/>
        </w:rPr>
        <w:t>C</w:t>
      </w:r>
      <w:r w:rsidRPr="275CE959" w:rsidR="0068252F">
        <w:rPr>
          <w:rFonts w:ascii="Calibri" w:hAnsi="Calibri" w:cs="Calibri"/>
          <w:sz w:val="22"/>
          <w:szCs w:val="22"/>
        </w:rPr>
        <w:t>uáles hacen falta</w:t>
      </w:r>
      <w:r w:rsidRPr="275CE959" w:rsidR="00270AB9">
        <w:rPr>
          <w:rFonts w:ascii="Calibri" w:hAnsi="Calibri" w:cs="Calibri"/>
          <w:sz w:val="22"/>
          <w:szCs w:val="22"/>
        </w:rPr>
        <w:t>?</w:t>
      </w:r>
    </w:p>
    <w:p w:rsidRPr="001C36C5" w:rsidR="0068252F" w:rsidP="00270AB9" w:rsidRDefault="00270AB9" w14:paraId="1C1F74F9" w14:textId="758754C3">
      <w:pPr>
        <w:numPr>
          <w:ilvl w:val="1"/>
          <w:numId w:val="5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275CE959" w:rsidR="00270AB9">
        <w:rPr>
          <w:rFonts w:ascii="Calibri" w:hAnsi="Calibri" w:cs="Calibri"/>
          <w:sz w:val="22"/>
          <w:szCs w:val="22"/>
        </w:rPr>
        <w:t>¿</w:t>
      </w:r>
      <w:r w:rsidRPr="275CE959" w:rsidR="4016D93A">
        <w:rPr>
          <w:rFonts w:ascii="Calibri" w:hAnsi="Calibri" w:cs="Calibri"/>
          <w:sz w:val="22"/>
          <w:szCs w:val="22"/>
        </w:rPr>
        <w:t>C</w:t>
      </w:r>
      <w:r w:rsidRPr="275CE959" w:rsidR="0068252F">
        <w:rPr>
          <w:rFonts w:ascii="Calibri" w:hAnsi="Calibri" w:cs="Calibri"/>
          <w:sz w:val="22"/>
          <w:szCs w:val="22"/>
        </w:rPr>
        <w:t>uáles son críticas para su contexto</w:t>
      </w:r>
      <w:r w:rsidRPr="275CE959" w:rsidR="00270AB9">
        <w:rPr>
          <w:rFonts w:ascii="Calibri" w:hAnsi="Calibri" w:cs="Calibri"/>
          <w:sz w:val="22"/>
          <w:szCs w:val="22"/>
        </w:rPr>
        <w:t>?</w:t>
      </w:r>
    </w:p>
    <w:p w:rsidRPr="001C36C5" w:rsidR="00270AB9" w:rsidP="00270AB9" w:rsidRDefault="00270AB9" w14:paraId="12997E4C" w14:textId="77777777">
      <w:pPr>
        <w:spacing w:before="100" w:beforeAutospacing="1" w:after="0" w:line="300" w:lineRule="atLeast"/>
        <w:rPr>
          <w:rFonts w:ascii="Calibri" w:hAnsi="Calibri" w:cs="Calibri"/>
          <w:b/>
          <w:bCs/>
          <w:sz w:val="22"/>
          <w:szCs w:val="22"/>
        </w:rPr>
      </w:pPr>
      <w:r w:rsidRPr="001C36C5">
        <w:rPr>
          <w:rFonts w:ascii="Calibri" w:hAnsi="Calibri" w:cs="Calibri"/>
          <w:b/>
          <w:bCs/>
          <w:sz w:val="22"/>
          <w:szCs w:val="22"/>
        </w:rPr>
        <w:t>Paso 3:</w:t>
      </w:r>
    </w:p>
    <w:p w:rsidRPr="001C36C5" w:rsidR="0068252F" w:rsidP="001C36C5" w:rsidRDefault="00270AB9" w14:paraId="7DD7381D" w14:textId="5BEEA5BB">
      <w:pPr>
        <w:pStyle w:val="Prrafodelista"/>
        <w:numPr>
          <w:ilvl w:val="0"/>
          <w:numId w:val="7"/>
        </w:numPr>
        <w:spacing w:after="100" w:afterAutospacing="1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>De las ideas lanzadas, s</w:t>
      </w:r>
      <w:r w:rsidRPr="001C36C5" w:rsidR="0068252F">
        <w:rPr>
          <w:rFonts w:ascii="Calibri" w:hAnsi="Calibri" w:cs="Calibri"/>
          <w:sz w:val="22"/>
          <w:szCs w:val="22"/>
        </w:rPr>
        <w:t xml:space="preserve">eleccionen </w:t>
      </w:r>
      <w:r w:rsidRPr="001C36C5" w:rsidR="0068252F">
        <w:rPr>
          <w:rStyle w:val="Textoennegrita"/>
          <w:rFonts w:ascii="Calibri" w:hAnsi="Calibri" w:cs="Calibri"/>
          <w:sz w:val="22"/>
          <w:szCs w:val="22"/>
        </w:rPr>
        <w:t>3 a 5 directrices prioritarias</w:t>
      </w:r>
      <w:r w:rsidRPr="001C36C5" w:rsidR="0068252F">
        <w:rPr>
          <w:rFonts w:ascii="Calibri" w:hAnsi="Calibri" w:cs="Calibri"/>
          <w:sz w:val="22"/>
          <w:szCs w:val="22"/>
        </w:rPr>
        <w:t xml:space="preserve"> para implementar en el corto plazo</w:t>
      </w:r>
      <w:r w:rsidRPr="001C36C5" w:rsidR="001C36C5">
        <w:rPr>
          <w:rFonts w:ascii="Calibri" w:hAnsi="Calibri" w:cs="Calibri"/>
          <w:sz w:val="22"/>
          <w:szCs w:val="22"/>
        </w:rPr>
        <w:t xml:space="preserve"> en su proceso de diálogo. Pueden apoyar en las siguientes preguntas para definir la ruta de acción alrededor de las directrices:</w:t>
      </w:r>
    </w:p>
    <w:p w:rsidRPr="001C36C5" w:rsidR="001C36C5" w:rsidP="001C36C5" w:rsidRDefault="001C36C5" w14:paraId="1FB005D6" w14:textId="77777777">
      <w:pPr>
        <w:pStyle w:val="Prrafodelista"/>
        <w:numPr>
          <w:ilvl w:val="1"/>
          <w:numId w:val="7"/>
        </w:numPr>
        <w:spacing w:before="100" w:beforeAutospacing="1" w:after="100" w:afterAutospacing="1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>¿Qué acciones concretas implementarán?</w:t>
      </w:r>
    </w:p>
    <w:p w:rsidRPr="001C36C5" w:rsidR="001C36C5" w:rsidP="001C36C5" w:rsidRDefault="001C36C5" w14:paraId="3EDC9FA9" w14:textId="77777777">
      <w:pPr>
        <w:pStyle w:val="Prrafodelista"/>
        <w:numPr>
          <w:ilvl w:val="1"/>
          <w:numId w:val="7"/>
        </w:numPr>
        <w:spacing w:before="100" w:beforeAutospacing="1" w:after="100" w:afterAutospacing="1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>¿Quién será responsable?</w:t>
      </w:r>
    </w:p>
    <w:p w:rsidRPr="001C36C5" w:rsidR="001C36C5" w:rsidP="001C36C5" w:rsidRDefault="001C36C5" w14:paraId="30E5E3B9" w14:textId="77777777">
      <w:pPr>
        <w:pStyle w:val="Prrafodelista"/>
        <w:numPr>
          <w:ilvl w:val="1"/>
          <w:numId w:val="7"/>
        </w:numPr>
        <w:spacing w:before="100" w:beforeAutospacing="1" w:after="100" w:afterAutospacing="1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>¿En qué momentos del proceso se aplicarán?</w:t>
      </w:r>
    </w:p>
    <w:p w:rsidRPr="001C36C5" w:rsidR="001C36C5" w:rsidP="001C36C5" w:rsidRDefault="001C36C5" w14:paraId="08013DF0" w14:textId="762ABC5E">
      <w:pPr>
        <w:spacing w:after="0" w:line="300" w:lineRule="atLeast"/>
        <w:rPr>
          <w:rFonts w:ascii="Calibri" w:hAnsi="Calibri" w:cs="Calibri"/>
          <w:b/>
          <w:bCs/>
          <w:sz w:val="22"/>
          <w:szCs w:val="22"/>
        </w:rPr>
      </w:pPr>
      <w:r w:rsidRPr="001C36C5">
        <w:rPr>
          <w:rFonts w:ascii="Calibri" w:hAnsi="Calibri" w:cs="Calibri"/>
          <w:b/>
          <w:bCs/>
          <w:sz w:val="22"/>
          <w:szCs w:val="22"/>
        </w:rPr>
        <w:t>Paso 4:</w:t>
      </w:r>
    </w:p>
    <w:p w:rsidRPr="001C36C5" w:rsidR="0068252F" w:rsidP="001C36C5" w:rsidRDefault="0068252F" w14:paraId="4490B190" w14:textId="1709103E">
      <w:pPr>
        <w:pStyle w:val="Prrafodelista"/>
        <w:numPr>
          <w:ilvl w:val="0"/>
          <w:numId w:val="7"/>
        </w:numPr>
        <w:spacing w:after="100" w:afterAutospacing="1" w:line="300" w:lineRule="atLeast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 xml:space="preserve">Definan responsables y acciones concretas para </w:t>
      </w:r>
      <w:r w:rsidRPr="001C36C5" w:rsidR="001C36C5">
        <w:rPr>
          <w:rFonts w:ascii="Calibri" w:hAnsi="Calibri" w:cs="Calibri"/>
          <w:sz w:val="22"/>
          <w:szCs w:val="22"/>
        </w:rPr>
        <w:t xml:space="preserve">implementar </w:t>
      </w:r>
      <w:r w:rsidRPr="001C36C5">
        <w:rPr>
          <w:rFonts w:ascii="Calibri" w:hAnsi="Calibri" w:cs="Calibri"/>
          <w:sz w:val="22"/>
          <w:szCs w:val="22"/>
        </w:rPr>
        <w:t>cada una</w:t>
      </w:r>
      <w:r w:rsidRPr="001C36C5" w:rsidR="001C36C5">
        <w:rPr>
          <w:rFonts w:ascii="Calibri" w:hAnsi="Calibri" w:cs="Calibri"/>
          <w:sz w:val="22"/>
          <w:szCs w:val="22"/>
        </w:rPr>
        <w:t xml:space="preserve"> de las directrices seleccionadas</w:t>
      </w:r>
      <w:r w:rsidRPr="001C36C5">
        <w:rPr>
          <w:rFonts w:ascii="Calibri" w:hAnsi="Calibri" w:cs="Calibri"/>
          <w:sz w:val="22"/>
          <w:szCs w:val="22"/>
        </w:rPr>
        <w:t>.</w:t>
      </w:r>
    </w:p>
    <w:p w:rsidRPr="001C36C5" w:rsidR="0068252F" w:rsidP="001C36C5" w:rsidRDefault="001C36C5" w14:paraId="2FE6E71B" w14:textId="4914AF94">
      <w:pPr>
        <w:pStyle w:val="Ttulo2"/>
        <w:spacing w:line="300" w:lineRule="atLeast"/>
        <w:jc w:val="center"/>
        <w:rPr>
          <w:rFonts w:ascii="Calibri" w:hAnsi="Calibri" w:cs="Calibri"/>
          <w:sz w:val="22"/>
          <w:szCs w:val="22"/>
        </w:rPr>
      </w:pPr>
      <w:r w:rsidRPr="275CE959" w:rsidR="3CEAE4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A5C00"/>
          <w:sz w:val="22"/>
          <w:szCs w:val="22"/>
          <w:lang w:val="es-ES"/>
        </w:rPr>
        <w:t>¡</w:t>
      </w:r>
      <w:r w:rsidRPr="275CE959" w:rsidR="018793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A5C00"/>
          <w:sz w:val="22"/>
          <w:szCs w:val="22"/>
          <w:lang w:val="es-ES"/>
        </w:rPr>
        <w:t>Recuerden!</w:t>
      </w:r>
    </w:p>
    <w:p w:rsidRPr="001C36C5" w:rsidR="0068252F" w:rsidP="001C36C5" w:rsidRDefault="0068252F" w14:paraId="2B9031D9" w14:textId="3DEEE76E">
      <w:pPr>
        <w:pStyle w:val="NormalWeb"/>
        <w:spacing w:line="300" w:lineRule="atLeast"/>
        <w:jc w:val="center"/>
        <w:rPr>
          <w:rFonts w:ascii="Calibri" w:hAnsi="Calibri" w:cs="Calibri"/>
          <w:sz w:val="22"/>
          <w:szCs w:val="22"/>
        </w:rPr>
      </w:pPr>
      <w:r w:rsidRPr="001C36C5">
        <w:rPr>
          <w:rFonts w:ascii="Calibri" w:hAnsi="Calibri" w:cs="Calibri"/>
          <w:sz w:val="22"/>
          <w:szCs w:val="22"/>
        </w:rPr>
        <w:t>La transparencia es acumulativa</w:t>
      </w:r>
      <w:r w:rsidR="001C36C5">
        <w:rPr>
          <w:rFonts w:ascii="Calibri" w:hAnsi="Calibri" w:cs="Calibri"/>
          <w:sz w:val="22"/>
          <w:szCs w:val="22"/>
        </w:rPr>
        <w:t>,</w:t>
      </w:r>
      <w:r w:rsidRPr="001C36C5">
        <w:rPr>
          <w:rFonts w:ascii="Calibri" w:hAnsi="Calibri" w:cs="Calibri"/>
          <w:sz w:val="22"/>
          <w:szCs w:val="22"/>
        </w:rPr>
        <w:t xml:space="preserve"> </w:t>
      </w:r>
      <w:r w:rsidRPr="001C36C5">
        <w:rPr>
          <w:rStyle w:val="Textoennegrita"/>
          <w:rFonts w:ascii="Calibri" w:hAnsi="Calibri" w:cs="Calibri"/>
          <w:sz w:val="22"/>
          <w:szCs w:val="22"/>
        </w:rPr>
        <w:t>cada acción sostenida fortalece la confianza y la legitimidad del proceso</w:t>
      </w:r>
      <w:r w:rsidRPr="001C36C5">
        <w:rPr>
          <w:rFonts w:ascii="Calibri" w:hAnsi="Calibri" w:cs="Calibri"/>
          <w:sz w:val="22"/>
          <w:szCs w:val="22"/>
        </w:rPr>
        <w:t>.</w:t>
      </w:r>
    </w:p>
    <w:sectPr w:rsidRPr="001C36C5" w:rsidR="0068252F">
      <w:footerReference w:type="default" r:id="rId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A69" w:rsidP="001C36C5" w:rsidRDefault="006E0A69" w14:paraId="5220A092" w14:textId="77777777">
      <w:pPr>
        <w:spacing w:after="0" w:line="240" w:lineRule="auto"/>
      </w:pPr>
      <w:r>
        <w:separator/>
      </w:r>
    </w:p>
  </w:endnote>
  <w:endnote w:type="continuationSeparator" w:id="0">
    <w:p w:rsidR="006E0A69" w:rsidP="001C36C5" w:rsidRDefault="006E0A69" w14:paraId="0F7663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77864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:rsidRPr="001C36C5" w:rsidR="001C36C5" w:rsidRDefault="001C36C5" w14:paraId="7D5E4A99" w14:textId="0F9FB1DE">
        <w:pPr>
          <w:pStyle w:val="Piedepgina"/>
          <w:jc w:val="right"/>
          <w:rPr>
            <w:rFonts w:ascii="Calibri" w:hAnsi="Calibri" w:cs="Calibri"/>
            <w:sz w:val="22"/>
            <w:szCs w:val="22"/>
          </w:rPr>
        </w:pPr>
        <w:r w:rsidRPr="001C36C5">
          <w:rPr>
            <w:rFonts w:ascii="Calibri" w:hAnsi="Calibri" w:cs="Calibri"/>
            <w:sz w:val="22"/>
            <w:szCs w:val="22"/>
          </w:rPr>
          <w:fldChar w:fldCharType="begin"/>
        </w:r>
        <w:r w:rsidRPr="001C36C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C36C5">
          <w:rPr>
            <w:rFonts w:ascii="Calibri" w:hAnsi="Calibri" w:cs="Calibri"/>
            <w:sz w:val="22"/>
            <w:szCs w:val="22"/>
          </w:rPr>
          <w:fldChar w:fldCharType="separate"/>
        </w:r>
        <w:r w:rsidRPr="001C36C5">
          <w:rPr>
            <w:rFonts w:ascii="Calibri" w:hAnsi="Calibri" w:cs="Calibri"/>
            <w:sz w:val="22"/>
            <w:szCs w:val="22"/>
          </w:rPr>
          <w:t>2</w:t>
        </w:r>
        <w:r w:rsidRPr="001C36C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1C36C5" w:rsidRDefault="001C36C5" w14:paraId="60E5488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A69" w:rsidP="001C36C5" w:rsidRDefault="006E0A69" w14:paraId="1502C695" w14:textId="77777777">
      <w:pPr>
        <w:spacing w:after="0" w:line="240" w:lineRule="auto"/>
      </w:pPr>
      <w:r>
        <w:separator/>
      </w:r>
    </w:p>
  </w:footnote>
  <w:footnote w:type="continuationSeparator" w:id="0">
    <w:p w:rsidR="006E0A69" w:rsidP="001C36C5" w:rsidRDefault="006E0A69" w14:paraId="6E6B76A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57622e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87299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C95AF6"/>
    <w:multiLevelType w:val="multilevel"/>
    <w:tmpl w:val="90C6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AB43C5"/>
    <w:multiLevelType w:val="hybridMultilevel"/>
    <w:tmpl w:val="F37EB76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8355"/>
    <w:multiLevelType w:val="hybridMultilevel"/>
    <w:tmpl w:val="8132FDD4"/>
    <w:lvl w:ilvl="0" w:tplc="6772E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CE4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6E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243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C41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8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254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9A58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AAE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67B75"/>
    <w:multiLevelType w:val="hybridMultilevel"/>
    <w:tmpl w:val="06C06AA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5E255A"/>
    <w:multiLevelType w:val="hybridMultilevel"/>
    <w:tmpl w:val="A740B622"/>
    <w:lvl w:ilvl="0" w:tplc="DF4AC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43E94"/>
    <w:multiLevelType w:val="hybridMultilevel"/>
    <w:tmpl w:val="AC88733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190B"/>
    <w:multiLevelType w:val="multilevel"/>
    <w:tmpl w:val="F1387B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E3A1A29"/>
    <w:multiLevelType w:val="multilevel"/>
    <w:tmpl w:val="D7BC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hAnsi="Segoe UI" w:cs="Segoe UI" w:eastAsia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F9374"/>
    <w:multiLevelType w:val="hybridMultilevel"/>
    <w:tmpl w:val="78BC44C4"/>
    <w:lvl w:ilvl="0" w:tplc="904E84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F8E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6C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7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F8E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AAF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143A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6A3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645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8EE7F1"/>
    <w:multiLevelType w:val="hybridMultilevel"/>
    <w:tmpl w:val="F95016B2"/>
    <w:lvl w:ilvl="0" w:tplc="03AE95B4">
      <w:start w:val="1"/>
      <w:numFmt w:val="decimal"/>
      <w:lvlText w:val="%1."/>
      <w:lvlJc w:val="left"/>
      <w:pPr>
        <w:ind w:left="720" w:hanging="360"/>
      </w:pPr>
    </w:lvl>
    <w:lvl w:ilvl="1" w:tplc="85523842">
      <w:start w:val="1"/>
      <w:numFmt w:val="lowerLetter"/>
      <w:lvlText w:val="%2."/>
      <w:lvlJc w:val="left"/>
      <w:pPr>
        <w:ind w:left="1440" w:hanging="360"/>
      </w:pPr>
    </w:lvl>
    <w:lvl w:ilvl="2" w:tplc="A78C5042">
      <w:start w:val="1"/>
      <w:numFmt w:val="lowerRoman"/>
      <w:lvlText w:val="%3."/>
      <w:lvlJc w:val="right"/>
      <w:pPr>
        <w:ind w:left="2160" w:hanging="180"/>
      </w:pPr>
    </w:lvl>
    <w:lvl w:ilvl="3" w:tplc="5CB04008">
      <w:start w:val="1"/>
      <w:numFmt w:val="decimal"/>
      <w:lvlText w:val="%4."/>
      <w:lvlJc w:val="left"/>
      <w:pPr>
        <w:ind w:left="2880" w:hanging="360"/>
      </w:pPr>
    </w:lvl>
    <w:lvl w:ilvl="4" w:tplc="C38447A4">
      <w:start w:val="1"/>
      <w:numFmt w:val="lowerLetter"/>
      <w:lvlText w:val="%5."/>
      <w:lvlJc w:val="left"/>
      <w:pPr>
        <w:ind w:left="3600" w:hanging="360"/>
      </w:pPr>
    </w:lvl>
    <w:lvl w:ilvl="5" w:tplc="C352C18A">
      <w:start w:val="1"/>
      <w:numFmt w:val="lowerRoman"/>
      <w:lvlText w:val="%6."/>
      <w:lvlJc w:val="right"/>
      <w:pPr>
        <w:ind w:left="4320" w:hanging="180"/>
      </w:pPr>
    </w:lvl>
    <w:lvl w:ilvl="6" w:tplc="7F8EEA42">
      <w:start w:val="1"/>
      <w:numFmt w:val="decimal"/>
      <w:lvlText w:val="%7."/>
      <w:lvlJc w:val="left"/>
      <w:pPr>
        <w:ind w:left="5040" w:hanging="360"/>
      </w:pPr>
    </w:lvl>
    <w:lvl w:ilvl="7" w:tplc="9F9A7CC2">
      <w:start w:val="1"/>
      <w:numFmt w:val="lowerLetter"/>
      <w:lvlText w:val="%8."/>
      <w:lvlJc w:val="left"/>
      <w:pPr>
        <w:ind w:left="5760" w:hanging="360"/>
      </w:pPr>
    </w:lvl>
    <w:lvl w:ilvl="8" w:tplc="A88689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5124"/>
    <w:multiLevelType w:val="hybridMultilevel"/>
    <w:tmpl w:val="695E9B7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9F678"/>
    <w:rsid w:val="001C36C5"/>
    <w:rsid w:val="00270AB9"/>
    <w:rsid w:val="003E2F9F"/>
    <w:rsid w:val="0068252F"/>
    <w:rsid w:val="006E0A69"/>
    <w:rsid w:val="00928B07"/>
    <w:rsid w:val="00D648FF"/>
    <w:rsid w:val="00DA1B83"/>
    <w:rsid w:val="018793C4"/>
    <w:rsid w:val="088CDD3C"/>
    <w:rsid w:val="0B24E284"/>
    <w:rsid w:val="0F933366"/>
    <w:rsid w:val="0FDE10D6"/>
    <w:rsid w:val="12C080E8"/>
    <w:rsid w:val="14329E7E"/>
    <w:rsid w:val="150C9677"/>
    <w:rsid w:val="18C6ED21"/>
    <w:rsid w:val="1911EEBC"/>
    <w:rsid w:val="1A5E7124"/>
    <w:rsid w:val="1D9790D8"/>
    <w:rsid w:val="1F77C808"/>
    <w:rsid w:val="2051FBBD"/>
    <w:rsid w:val="24E54D32"/>
    <w:rsid w:val="275CE959"/>
    <w:rsid w:val="278A5CFE"/>
    <w:rsid w:val="2A562C0A"/>
    <w:rsid w:val="2AD51900"/>
    <w:rsid w:val="2B0297C4"/>
    <w:rsid w:val="2BD39688"/>
    <w:rsid w:val="2C6EACBF"/>
    <w:rsid w:val="2DA797C2"/>
    <w:rsid w:val="30764C8C"/>
    <w:rsid w:val="30DDFEF9"/>
    <w:rsid w:val="331EE855"/>
    <w:rsid w:val="331EE855"/>
    <w:rsid w:val="33C45448"/>
    <w:rsid w:val="35D41454"/>
    <w:rsid w:val="372A9709"/>
    <w:rsid w:val="3730AA46"/>
    <w:rsid w:val="3B4DE35E"/>
    <w:rsid w:val="3C63F0DB"/>
    <w:rsid w:val="3CEAE441"/>
    <w:rsid w:val="3D702263"/>
    <w:rsid w:val="3F52593F"/>
    <w:rsid w:val="4016D93A"/>
    <w:rsid w:val="41860EEA"/>
    <w:rsid w:val="4719F678"/>
    <w:rsid w:val="4959A65D"/>
    <w:rsid w:val="4C8B1C10"/>
    <w:rsid w:val="4D6687F9"/>
    <w:rsid w:val="4D75C8C9"/>
    <w:rsid w:val="4DB5828B"/>
    <w:rsid w:val="4DDC5EF4"/>
    <w:rsid w:val="4E199485"/>
    <w:rsid w:val="4E99CBE3"/>
    <w:rsid w:val="4FC896FB"/>
    <w:rsid w:val="4FEBA75D"/>
    <w:rsid w:val="508A7DDD"/>
    <w:rsid w:val="50F21388"/>
    <w:rsid w:val="52B08673"/>
    <w:rsid w:val="54D4AB01"/>
    <w:rsid w:val="557CB563"/>
    <w:rsid w:val="5678E297"/>
    <w:rsid w:val="575E8312"/>
    <w:rsid w:val="5823B823"/>
    <w:rsid w:val="5BD70D65"/>
    <w:rsid w:val="5CE2CC59"/>
    <w:rsid w:val="5DAE1906"/>
    <w:rsid w:val="611552CB"/>
    <w:rsid w:val="62B01FD7"/>
    <w:rsid w:val="63EE9AE8"/>
    <w:rsid w:val="640B96F8"/>
    <w:rsid w:val="64A5FECB"/>
    <w:rsid w:val="64CA7454"/>
    <w:rsid w:val="66569ADC"/>
    <w:rsid w:val="667974DC"/>
    <w:rsid w:val="67EF6DB1"/>
    <w:rsid w:val="6A182C5C"/>
    <w:rsid w:val="6C487D6F"/>
    <w:rsid w:val="704BA016"/>
    <w:rsid w:val="71172D54"/>
    <w:rsid w:val="72844394"/>
    <w:rsid w:val="733FE9C8"/>
    <w:rsid w:val="78051312"/>
    <w:rsid w:val="7838E0C0"/>
    <w:rsid w:val="7876E184"/>
    <w:rsid w:val="78A7D2B1"/>
    <w:rsid w:val="79D66943"/>
    <w:rsid w:val="7CD87FBD"/>
    <w:rsid w:val="7E1B2D9C"/>
    <w:rsid w:val="7E1F17DE"/>
    <w:rsid w:val="7EADB0CA"/>
    <w:rsid w:val="7F79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0A14"/>
  <w15:chartTrackingRefBased/>
  <w15:docId w15:val="{78589DCB-558F-41AB-9E31-6BD5BAD6A6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252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3C63F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3C63F0D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825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8252F"/>
    <w:rPr>
      <w:b/>
      <w:bCs/>
    </w:rPr>
  </w:style>
  <w:style w:type="character" w:styleId="Ttulo2Car" w:customStyle="1">
    <w:name w:val="Título 2 Car"/>
    <w:basedOn w:val="Fuentedeprrafopredeter"/>
    <w:link w:val="Ttulo2"/>
    <w:uiPriority w:val="9"/>
    <w:rsid w:val="0068252F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3E2F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36C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C36C5"/>
  </w:style>
  <w:style w:type="paragraph" w:styleId="Piedepgina">
    <w:name w:val="footer"/>
    <w:basedOn w:val="Normal"/>
    <w:link w:val="PiedepginaCar"/>
    <w:uiPriority w:val="99"/>
    <w:unhideWhenUsed/>
    <w:rsid w:val="001C36C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C36C5"/>
  </w:style>
  <w:style xmlns:w14="http://schemas.microsoft.com/office/word/2010/wordml" xmlns:mc="http://schemas.openxmlformats.org/markup-compatibility/2006" xmlns:w="http://schemas.openxmlformats.org/wordprocessingml/2006/main" w:type="table" w:styleId="GridTable4-Accent4" mc:Ignorable="w14">
    <w:name xmlns:w="http://schemas.openxmlformats.org/wordprocessingml/2006/main" w:val="Grid Table 4 Accent 4"/>
    <w:basedOn xmlns:w="http://schemas.openxmlformats.org/wordprocessingml/2006/main" w:val="Tabla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FF2CC" w:themeFill="accent4" w:themeFillTint="33"/>
      </w:tcPr>
    </w:tblStylePr>
    <w:tblStylePr xmlns:w="http://schemas.openxmlformats.org/wordprocessingml/2006/main"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3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caroisaza@gmail.com</dc:creator>
  <keywords/>
  <dc:description/>
  <lastModifiedBy>caroisaza@gmail.com</lastModifiedBy>
  <revision>5</revision>
  <dcterms:created xsi:type="dcterms:W3CDTF">2026-05-04T18:28:00.0000000Z</dcterms:created>
  <dcterms:modified xsi:type="dcterms:W3CDTF">2026-05-14T14:30:44.9347627Z</dcterms:modified>
</coreProperties>
</file>