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3D9A853C" w14:paraId="6BD21E3B" wp14:textId="77777777">
      <w:pPr>
        <w:spacing w:before="0" w:after="60"/>
        <w:rPr>
          <w:rFonts w:ascii="Calibri" w:hAnsi="Calibri" w:eastAsia="Calibri" w:cs="Calibri"/>
          <w:b w:val="1"/>
          <w:bCs w:val="1"/>
          <w:i w:val="0"/>
          <w:iCs w:val="0"/>
          <w:color w:val="2E5266"/>
          <w:sz w:val="22"/>
          <w:szCs w:val="22"/>
        </w:rPr>
      </w:pPr>
      <w:r w:rsidRPr="3D9A853C" w:rsidR="3D9A853C">
        <w:rPr>
          <w:rFonts w:ascii="Calibri" w:hAnsi="Calibri" w:eastAsia="Calibri" w:cs="Calibri"/>
          <w:b w:val="1"/>
          <w:bCs w:val="1"/>
          <w:i w:val="0"/>
          <w:iCs w:val="0"/>
          <w:color w:val="2E5266"/>
          <w:sz w:val="22"/>
          <w:szCs w:val="22"/>
        </w:rPr>
        <w:t>GOBERNANZA DEL PROCESO · INSUMO 2</w:t>
      </w:r>
    </w:p>
    <w:p xmlns:wp14="http://schemas.microsoft.com/office/word/2010/wordml" w:rsidP="3D9A853C" w14:paraId="5E4BFF17" wp14:textId="77777777">
      <w:pPr>
        <w:spacing w:before="0" w:after="120"/>
        <w:jc w:val="both"/>
        <w:rPr>
          <w:rFonts w:ascii="Calibri" w:hAnsi="Calibri" w:eastAsia="Calibri" w:cs="Calibri"/>
          <w:b w:val="1"/>
          <w:bCs w:val="1"/>
          <w:i w:val="0"/>
          <w:iCs w:val="0"/>
          <w:noProof w:val="0"/>
          <w:color w:val="000000"/>
          <w:sz w:val="22"/>
          <w:szCs w:val="22"/>
          <w:lang w:val="es-CO"/>
        </w:rPr>
      </w:pPr>
      <w:r w:rsidRPr="3D9A853C" w:rsidR="3D9A853C">
        <w:rPr>
          <w:rFonts w:ascii="Calibri" w:hAnsi="Calibri" w:eastAsia="Calibri" w:cs="Calibri"/>
          <w:b w:val="1"/>
          <w:bCs w:val="1"/>
          <w:i w:val="0"/>
          <w:iCs w:val="0"/>
          <w:noProof w:val="0"/>
          <w:color w:val="000000"/>
          <w:sz w:val="22"/>
          <w:szCs w:val="22"/>
          <w:lang w:val="es-CO"/>
        </w:rPr>
        <w:t>Protocolo de gobernanza del proceso de diálogo</w:t>
      </w:r>
    </w:p>
    <w:p xmlns:wp14="http://schemas.microsoft.com/office/word/2010/wordml" w:rsidP="3D9A853C" w14:paraId="3C978EE8" wp14:textId="77777777">
      <w:pPr>
        <w:spacing w:before="0" w:after="80"/>
        <w:jc w:val="both"/>
        <w:rPr>
          <w:rFonts w:ascii="Calibri" w:hAnsi="Calibri" w:eastAsia="Calibri" w:cs="Calibri"/>
          <w:b w:val="0"/>
          <w:bCs w:val="0"/>
          <w:i w:val="1"/>
          <w:iCs w:val="1"/>
          <w:noProof w:val="0"/>
          <w:color w:val="000000"/>
          <w:sz w:val="22"/>
          <w:szCs w:val="22"/>
          <w:lang w:val="es-CO"/>
        </w:rPr>
      </w:pPr>
      <w:r w:rsidRPr="3D9A853C" w:rsidR="3D9A853C">
        <w:rPr>
          <w:rFonts w:ascii="Calibri" w:hAnsi="Calibri" w:eastAsia="Calibri" w:cs="Calibri"/>
          <w:b w:val="0"/>
          <w:bCs w:val="0"/>
          <w:i w:val="1"/>
          <w:iCs w:val="1"/>
          <w:noProof w:val="0"/>
          <w:color w:val="000000"/>
          <w:sz w:val="22"/>
          <w:szCs w:val="22"/>
          <w:lang w:val="es-CO"/>
        </w:rPr>
        <w:t>Herramienta para que el grupo multiactor defina colectivamente cómo se organiza el proceso: quién toma decisiones y cómo, quién coordina el seguimiento cotidiano, y por qué canales se comunicarán los actores.</w:t>
      </w:r>
    </w:p>
    <w:p xmlns:wp14="http://schemas.microsoft.com/office/word/2010/wordml" w:rsidP="3D9A853C" w14:paraId="6F471986" wp14:textId="77777777">
      <w:pPr>
        <w:spacing w:before="0" w:after="240"/>
        <w:jc w:val="both"/>
        <w:rPr>
          <w:rFonts w:ascii="Calibri" w:hAnsi="Calibri" w:eastAsia="Calibri" w:cs="Calibri"/>
          <w:b w:val="0"/>
          <w:bCs w:val="0"/>
          <w:i w:val="0"/>
          <w:iCs w:val="0"/>
          <w:noProof w:val="0"/>
          <w:color w:val="666666"/>
          <w:sz w:val="22"/>
          <w:szCs w:val="22"/>
          <w:lang w:val="es-CO"/>
        </w:rPr>
      </w:pPr>
      <w:r w:rsidRPr="3D9A853C" w:rsidR="3D9A853C">
        <w:rPr>
          <w:rFonts w:ascii="Calibri" w:hAnsi="Calibri" w:eastAsia="Calibri" w:cs="Calibri"/>
          <w:b w:val="0"/>
          <w:bCs w:val="0"/>
          <w:i w:val="0"/>
          <w:iCs w:val="0"/>
          <w:noProof w:val="0"/>
          <w:color w:val="666666"/>
          <w:sz w:val="22"/>
          <w:szCs w:val="22"/>
          <w:lang w:val="es-CO"/>
        </w:rPr>
        <w:t>NIMD Colombia · GIZ · 2026</w:t>
      </w:r>
    </w:p>
    <w:p xmlns:wp14="http://schemas.microsoft.com/office/word/2010/wordml" w:rsidP="3D9A853C" w14:paraId="5ACD5768" wp14:textId="77777777">
      <w:pPr>
        <w:spacing w:before="280" w:after="120"/>
        <w:jc w:val="both"/>
        <w:rPr>
          <w:rFonts w:ascii="Calibri" w:hAnsi="Calibri" w:eastAsia="Calibri" w:cs="Calibri"/>
          <w:b w:val="1"/>
          <w:bCs w:val="1"/>
          <w:noProof w:val="0"/>
          <w:color w:val="2E5266"/>
          <w:sz w:val="22"/>
          <w:szCs w:val="22"/>
          <w:lang w:val="es-CO"/>
        </w:rPr>
      </w:pPr>
      <w:r w:rsidRPr="3D9A853C" w:rsidR="3D9A853C">
        <w:rPr>
          <w:rFonts w:ascii="Calibri" w:hAnsi="Calibri" w:eastAsia="Calibri" w:cs="Calibri"/>
          <w:b w:val="1"/>
          <w:bCs w:val="1"/>
          <w:noProof w:val="0"/>
          <w:color w:val="2E5266"/>
          <w:sz w:val="22"/>
          <w:szCs w:val="22"/>
          <w:lang w:val="es-CO"/>
        </w:rPr>
        <w:t>1. ¿Para qué sirve esta herramienta?</w:t>
      </w:r>
    </w:p>
    <w:p xmlns:wp14="http://schemas.microsoft.com/office/word/2010/wordml" w:rsidP="3D9A853C" w14:paraId="4A17C7B5" wp14:textId="77777777">
      <w:pPr>
        <w:spacing w:before="0" w:after="80"/>
        <w:jc w:val="both"/>
        <w:rPr>
          <w:rFonts w:ascii="Calibri" w:hAnsi="Calibri" w:eastAsia="Calibri" w:cs="Calibri"/>
          <w:b w:val="0"/>
          <w:bCs w:val="0"/>
          <w:i w:val="0"/>
          <w:iCs w:val="0"/>
          <w:noProof w:val="0"/>
          <w:color w:val="000000"/>
          <w:sz w:val="22"/>
          <w:szCs w:val="22"/>
          <w:lang w:val="es-CO"/>
        </w:rPr>
      </w:pPr>
      <w:r w:rsidRPr="3D9A853C" w:rsidR="3D9A853C">
        <w:rPr>
          <w:rFonts w:ascii="Calibri" w:hAnsi="Calibri" w:eastAsia="Calibri" w:cs="Calibri"/>
          <w:b w:val="0"/>
          <w:bCs w:val="0"/>
          <w:i w:val="0"/>
          <w:iCs w:val="0"/>
          <w:noProof w:val="0"/>
          <w:color w:val="000000"/>
          <w:sz w:val="22"/>
          <w:szCs w:val="22"/>
          <w:lang w:val="es-CO"/>
        </w:rPr>
        <w:t>A diferencia del Plan de Acción (insumo 1), que es un documento del equipo convocante, este protocolo lo construye y valida todo el grupo multiactor participante. Define las reglas de funcionamiento del proceso de diálogo y debe quedar ratificado por todos los actores antes de arrancar.</w:t>
      </w:r>
    </w:p>
    <w:p xmlns:wp14="http://schemas.microsoft.com/office/word/2010/wordml" w:rsidP="3D9A853C" w14:paraId="3C11A8C0" wp14:textId="77777777">
      <w:pPr>
        <w:spacing w:before="0" w:after="120"/>
        <w:jc w:val="both"/>
        <w:rPr>
          <w:rFonts w:ascii="Calibri" w:hAnsi="Calibri" w:eastAsia="Calibri" w:cs="Calibri"/>
          <w:b w:val="0"/>
          <w:bCs w:val="0"/>
          <w:i w:val="0"/>
          <w:iCs w:val="0"/>
          <w:noProof w:val="0"/>
          <w:color w:val="000000"/>
          <w:sz w:val="22"/>
          <w:szCs w:val="22"/>
          <w:lang w:val="es-CO"/>
        </w:rPr>
      </w:pPr>
      <w:r w:rsidRPr="3D9A853C" w:rsidR="3D9A853C">
        <w:rPr>
          <w:rFonts w:ascii="Calibri" w:hAnsi="Calibri" w:eastAsia="Calibri" w:cs="Calibri"/>
          <w:b w:val="0"/>
          <w:bCs w:val="0"/>
          <w:i w:val="0"/>
          <w:iCs w:val="0"/>
          <w:noProof w:val="0"/>
          <w:color w:val="000000"/>
          <w:sz w:val="22"/>
          <w:szCs w:val="22"/>
          <w:lang w:val="es-CO"/>
        </w:rPr>
        <w:t>Sin una estructura de gobernanza explícita, los procesos de diálogo tienden a dejar la toma de decisiones en manos de los actores con mayor poder o en liderazgos individuales. Este protocolo redistribuye esa responsabilidad.</w:t>
      </w:r>
    </w:p>
    <w:p xmlns:wp14="http://schemas.microsoft.com/office/word/2010/wordml" w:rsidP="3D9A853C" w14:paraId="2C9BC35B" wp14:textId="77777777">
      <w:pPr>
        <w:spacing w:before="280" w:after="120"/>
        <w:jc w:val="both"/>
        <w:rPr>
          <w:rFonts w:ascii="Calibri" w:hAnsi="Calibri" w:eastAsia="Calibri" w:cs="Calibri"/>
          <w:b w:val="1"/>
          <w:bCs w:val="1"/>
          <w:noProof w:val="0"/>
          <w:color w:val="2E5266"/>
          <w:sz w:val="22"/>
          <w:szCs w:val="22"/>
          <w:lang w:val="es-CO"/>
        </w:rPr>
      </w:pPr>
      <w:r w:rsidRPr="3D9A853C" w:rsidR="3D9A853C">
        <w:rPr>
          <w:rFonts w:ascii="Calibri" w:hAnsi="Calibri" w:eastAsia="Calibri" w:cs="Calibri"/>
          <w:b w:val="1"/>
          <w:bCs w:val="1"/>
          <w:noProof w:val="0"/>
          <w:color w:val="2E5266"/>
          <w:sz w:val="22"/>
          <w:szCs w:val="22"/>
          <w:lang w:val="es-CO"/>
        </w:rPr>
        <w:t>2. Paso a paso</w:t>
      </w:r>
    </w:p>
    <w:p xmlns:wp14="http://schemas.microsoft.com/office/word/2010/wordml" w:rsidP="3D9A853C" w14:paraId="3D25EAA0" wp14:textId="77777777">
      <w:pPr>
        <w:spacing w:before="0" w:after="160"/>
        <w:jc w:val="both"/>
        <w:rPr>
          <w:rFonts w:ascii="Calibri" w:hAnsi="Calibri" w:eastAsia="Calibri" w:cs="Calibri"/>
          <w:b w:val="0"/>
          <w:bCs w:val="0"/>
          <w:i w:val="0"/>
          <w:iCs w:val="0"/>
          <w:noProof w:val="0"/>
          <w:color w:val="000000"/>
          <w:sz w:val="22"/>
          <w:szCs w:val="22"/>
          <w:lang w:val="es-CO"/>
        </w:rPr>
      </w:pPr>
      <w:r w:rsidRPr="3D9A853C" w:rsidR="3D9A853C">
        <w:rPr>
          <w:rFonts w:ascii="Calibri" w:hAnsi="Calibri" w:eastAsia="Calibri" w:cs="Calibri"/>
          <w:b w:val="0"/>
          <w:bCs w:val="0"/>
          <w:i w:val="0"/>
          <w:iCs w:val="0"/>
          <w:noProof w:val="0"/>
          <w:color w:val="000000"/>
          <w:sz w:val="22"/>
          <w:szCs w:val="22"/>
          <w:lang w:val="es-CO"/>
        </w:rPr>
        <w:t>Recorran los seis pasos en orden. Los primeros cuatro definen la estructura y las reglas; el quinto los canales; el sexto las condiciones para que la estructura funcione en el tiempo.</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4760"/>
      </w:tblGrid>
      <w:tr xmlns:wp14="http://schemas.microsoft.com/office/word/2010/wordml" w:rsidTr="3D9A853C" w14:paraId="0D1083A4" wp14:textId="77777777">
        <w:trPr>
          <w:tblHeader/>
        </w:trPr>
        <w:tc>
          <w:tcPr>
            <w:tcW w:w="1800" w:type="dxa"/>
            <w:tcBorders>
              <w:top w:val="single" w:color="2E5266" w:sz="4"/>
              <w:left w:val="single" w:color="2E5266" w:sz="4"/>
              <w:bottom w:val="single" w:color="2E5266" w:sz="4"/>
              <w:right w:val="single" w:color="2E5266" w:sz="4"/>
            </w:tcBorders>
            <w:shd w:val="clear" w:color="auto" w:fill="2E5266"/>
            <w:tcMar>
              <w:top w:w="120" w:type="dxa"/>
              <w:left w:w="160" w:type="dxa"/>
              <w:bottom w:w="120" w:type="dxa"/>
              <w:right w:w="160" w:type="dxa"/>
            </w:tcMar>
          </w:tcPr>
          <w:p w:rsidP="3D9A853C" w14:paraId="18F84260" wp14:textId="77777777">
            <w:pPr>
              <w:spacing w:before="0" w:after="0"/>
              <w:jc w:val="both"/>
              <w:rPr>
                <w:rFonts w:ascii="Calibri" w:hAnsi="Calibri" w:eastAsia="Calibri" w:cs="Calibri"/>
                <w:b w:val="1"/>
                <w:bCs w:val="1"/>
                <w:noProof w:val="0"/>
                <w:color w:val="FFFFFF"/>
                <w:sz w:val="22"/>
                <w:szCs w:val="22"/>
                <w:lang w:val="es-CO"/>
              </w:rPr>
            </w:pPr>
            <w:r w:rsidRPr="3D9A853C" w:rsidR="3D9A853C">
              <w:rPr>
                <w:rFonts w:ascii="Calibri" w:hAnsi="Calibri" w:eastAsia="Calibri" w:cs="Calibri"/>
                <w:b w:val="1"/>
                <w:bCs w:val="1"/>
                <w:noProof w:val="0"/>
                <w:color w:val="FFFFFF"/>
                <w:sz w:val="22"/>
                <w:szCs w:val="22"/>
                <w:lang w:val="es-CO"/>
              </w:rPr>
              <w:t>Paso</w:t>
            </w:r>
          </w:p>
        </w:tc>
        <w:tc>
          <w:tcPr>
            <w:tcW w:w="2800" w:type="dxa"/>
            <w:tcBorders>
              <w:top w:val="single" w:color="2E5266" w:sz="4"/>
              <w:left w:val="single" w:color="2E5266" w:sz="4"/>
              <w:bottom w:val="single" w:color="2E5266" w:sz="4"/>
              <w:right w:val="single" w:color="2E5266" w:sz="4"/>
            </w:tcBorders>
            <w:shd w:val="clear" w:color="auto" w:fill="2E5266"/>
            <w:tcMar>
              <w:top w:w="120" w:type="dxa"/>
              <w:left w:w="160" w:type="dxa"/>
              <w:bottom w:w="120" w:type="dxa"/>
              <w:right w:w="160" w:type="dxa"/>
            </w:tcMar>
          </w:tcPr>
          <w:p w:rsidP="3D9A853C" w14:paraId="73C96B25" wp14:textId="77777777">
            <w:pPr>
              <w:spacing w:before="0" w:after="0"/>
              <w:jc w:val="both"/>
              <w:rPr>
                <w:rFonts w:ascii="Calibri" w:hAnsi="Calibri" w:eastAsia="Calibri" w:cs="Calibri"/>
                <w:b w:val="1"/>
                <w:bCs w:val="1"/>
                <w:noProof w:val="0"/>
                <w:color w:val="FFFFFF"/>
                <w:sz w:val="22"/>
                <w:szCs w:val="22"/>
                <w:lang w:val="es-CO"/>
              </w:rPr>
            </w:pPr>
            <w:r w:rsidRPr="3D9A853C" w:rsidR="3D9A853C">
              <w:rPr>
                <w:rFonts w:ascii="Calibri" w:hAnsi="Calibri" w:eastAsia="Calibri" w:cs="Calibri"/>
                <w:b w:val="1"/>
                <w:bCs w:val="1"/>
                <w:noProof w:val="0"/>
                <w:color w:val="FFFFFF"/>
                <w:sz w:val="22"/>
                <w:szCs w:val="22"/>
                <w:lang w:val="es-CO"/>
              </w:rPr>
              <w:t>Acción clave</w:t>
            </w:r>
          </w:p>
        </w:tc>
        <w:tc>
          <w:tcPr>
            <w:tcW w:w="4760" w:type="dxa"/>
            <w:tcBorders>
              <w:top w:val="single" w:color="2E5266" w:sz="4"/>
              <w:left w:val="single" w:color="2E5266" w:sz="4"/>
              <w:bottom w:val="single" w:color="2E5266" w:sz="4"/>
              <w:right w:val="single" w:color="2E5266" w:sz="4"/>
            </w:tcBorders>
            <w:shd w:val="clear" w:color="auto" w:fill="2E5266"/>
            <w:tcMar>
              <w:top w:w="120" w:type="dxa"/>
              <w:left w:w="160" w:type="dxa"/>
              <w:bottom w:w="120" w:type="dxa"/>
              <w:right w:w="160" w:type="dxa"/>
            </w:tcMar>
          </w:tcPr>
          <w:p w:rsidP="3D9A853C" w14:paraId="351689A3" wp14:textId="77777777">
            <w:pPr>
              <w:spacing w:before="0" w:after="0"/>
              <w:jc w:val="both"/>
              <w:rPr>
                <w:rFonts w:ascii="Calibri" w:hAnsi="Calibri" w:eastAsia="Calibri" w:cs="Calibri"/>
                <w:b w:val="1"/>
                <w:bCs w:val="1"/>
                <w:noProof w:val="0"/>
                <w:color w:val="FFFFFF"/>
                <w:sz w:val="22"/>
                <w:szCs w:val="22"/>
                <w:lang w:val="es-CO"/>
              </w:rPr>
            </w:pPr>
            <w:r w:rsidRPr="3D9A853C" w:rsidR="3D9A853C">
              <w:rPr>
                <w:rFonts w:ascii="Calibri" w:hAnsi="Calibri" w:eastAsia="Calibri" w:cs="Calibri"/>
                <w:b w:val="1"/>
                <w:bCs w:val="1"/>
                <w:noProof w:val="0"/>
                <w:color w:val="FFFFFF"/>
                <w:sz w:val="22"/>
                <w:szCs w:val="22"/>
                <w:lang w:val="es-CO"/>
              </w:rPr>
              <w:t>Instrucción práctica</w:t>
            </w:r>
          </w:p>
        </w:tc>
      </w:tr>
      <w:tr xmlns:wp14="http://schemas.microsoft.com/office/word/2010/wordml" w:rsidTr="3D9A853C" w14:paraId="73183CF7" wp14:textId="77777777">
        <w:tc>
          <w:tcPr>
            <w:tcW w:w="1800" w:type="dxa"/>
            <w:tcBorders>
              <w:top w:val="single" w:color="2E5266" w:sz="4"/>
              <w:left w:val="single" w:color="2E5266" w:sz="4"/>
              <w:bottom w:val="single" w:color="2E5266" w:sz="4"/>
              <w:right w:val="single" w:color="2E5266" w:sz="4"/>
            </w:tcBorders>
            <w:shd w:val="clear" w:color="auto" w:fill="EAF2F8"/>
            <w:tcMar>
              <w:top w:w="120" w:type="dxa"/>
              <w:left w:w="160" w:type="dxa"/>
              <w:bottom w:w="120" w:type="dxa"/>
              <w:right w:w="160" w:type="dxa"/>
            </w:tcMar>
          </w:tcPr>
          <w:p w:rsidP="3D9A853C" w14:paraId="6DEFA046" wp14:textId="77777777">
            <w:pPr>
              <w:spacing w:before="0" w:after="40"/>
              <w:jc w:val="both"/>
              <w:rPr>
                <w:rFonts w:ascii="Calibri" w:hAnsi="Calibri" w:eastAsia="Calibri" w:cs="Calibri"/>
                <w:b w:val="1"/>
                <w:bCs w:val="1"/>
                <w:noProof w:val="0"/>
                <w:color w:val="2E5266"/>
                <w:sz w:val="22"/>
                <w:szCs w:val="22"/>
                <w:lang w:val="es-CO"/>
              </w:rPr>
            </w:pPr>
            <w:r w:rsidRPr="3D9A853C" w:rsidR="3D9A853C">
              <w:rPr>
                <w:rFonts w:ascii="Calibri" w:hAnsi="Calibri" w:eastAsia="Calibri" w:cs="Calibri"/>
                <w:b w:val="1"/>
                <w:bCs w:val="1"/>
                <w:noProof w:val="0"/>
                <w:color w:val="2E5266"/>
                <w:sz w:val="22"/>
                <w:szCs w:val="22"/>
                <w:lang w:val="es-CO"/>
              </w:rPr>
              <w:t>Paso 1</w:t>
            </w:r>
          </w:p>
          <w:p w:rsidP="3D9A853C" w14:paraId="338F6677" wp14:textId="77777777">
            <w:pPr>
              <w:spacing w:before="0" w:after="0"/>
              <w:jc w:val="both"/>
              <w:rPr>
                <w:rFonts w:ascii="Calibri" w:hAnsi="Calibri" w:eastAsia="Calibri" w:cs="Calibri"/>
                <w:b w:val="1"/>
                <w:bCs w:val="1"/>
                <w:noProof w:val="0"/>
                <w:color w:val="000000"/>
                <w:sz w:val="22"/>
                <w:szCs w:val="22"/>
                <w:lang w:val="es-CO"/>
              </w:rPr>
            </w:pPr>
            <w:r w:rsidRPr="3D9A853C" w:rsidR="3D9A853C">
              <w:rPr>
                <w:rFonts w:ascii="Calibri" w:hAnsi="Calibri" w:eastAsia="Calibri" w:cs="Calibri"/>
                <w:b w:val="1"/>
                <w:bCs w:val="1"/>
                <w:noProof w:val="0"/>
                <w:color w:val="000000"/>
                <w:sz w:val="22"/>
                <w:szCs w:val="22"/>
                <w:lang w:val="es-CO"/>
              </w:rPr>
              <w:t>Definir mandatos y roles</w:t>
            </w:r>
          </w:p>
        </w:tc>
        <w:tc>
          <w:tcPr>
            <w:tcW w:w="280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6FF31B03" wp14:textId="77777777">
            <w:pPr>
              <w:spacing w:before="0" w:after="0"/>
              <w:jc w:val="both"/>
              <w:rPr>
                <w:rFonts w:ascii="Calibri" w:hAnsi="Calibri" w:eastAsia="Calibri" w:cs="Calibri"/>
                <w:b w:val="1"/>
                <w:bCs w:val="1"/>
                <w:noProof w:val="0"/>
                <w:color w:val="333333"/>
                <w:sz w:val="22"/>
                <w:szCs w:val="22"/>
                <w:lang w:val="es-CO"/>
              </w:rPr>
            </w:pPr>
            <w:r w:rsidRPr="3D9A853C" w:rsidR="3D9A853C">
              <w:rPr>
                <w:rFonts w:ascii="Calibri" w:hAnsi="Calibri" w:eastAsia="Calibri" w:cs="Calibri"/>
                <w:b w:val="1"/>
                <w:bCs w:val="1"/>
                <w:noProof w:val="0"/>
                <w:color w:val="333333"/>
                <w:sz w:val="22"/>
                <w:szCs w:val="22"/>
                <w:lang w:val="es-CO"/>
              </w:rPr>
              <w:t>Aclarar quién hace qué dentro de la gobernanza del proceso.</w:t>
            </w:r>
          </w:p>
        </w:tc>
        <w:tc>
          <w:tcPr>
            <w:tcW w:w="476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5DC4A502" wp14:textId="77777777">
            <w:pPr>
              <w:spacing w:before="0" w:after="0"/>
              <w:jc w:val="both"/>
              <w:rPr>
                <w:rFonts w:ascii="Calibri" w:hAnsi="Calibri" w:eastAsia="Calibri" w:cs="Calibri"/>
                <w:noProof w:val="0"/>
                <w:sz w:val="22"/>
                <w:szCs w:val="22"/>
                <w:lang w:val="es-CO"/>
              </w:rPr>
            </w:pPr>
            <w:r w:rsidRPr="3D9A853C" w:rsidR="3D9A853C">
              <w:rPr>
                <w:rFonts w:ascii="Calibri" w:hAnsi="Calibri" w:eastAsia="Calibri" w:cs="Calibri"/>
                <w:noProof w:val="0"/>
                <w:sz w:val="22"/>
                <w:szCs w:val="22"/>
                <w:lang w:val="es-CO"/>
              </w:rPr>
              <w:t>Elaboren un mapa de responsabilidades por escrito: órgano de gobernanza, comité técnico, equipos operativos y representantes de cada actor. Incluyan también quién tiene poder de decisión y sobre qué temas.</w:t>
            </w:r>
          </w:p>
        </w:tc>
      </w:tr>
      <w:tr xmlns:wp14="http://schemas.microsoft.com/office/word/2010/wordml" w:rsidTr="3D9A853C" w14:paraId="788F5EA4" wp14:textId="77777777">
        <w:tc>
          <w:tcPr>
            <w:tcW w:w="1800" w:type="dxa"/>
            <w:tcBorders>
              <w:top w:val="single" w:color="2E5266" w:sz="4"/>
              <w:left w:val="single" w:color="2E5266" w:sz="4"/>
              <w:bottom w:val="single" w:color="2E5266" w:sz="4"/>
              <w:right w:val="single" w:color="2E5266" w:sz="4"/>
            </w:tcBorders>
            <w:shd w:val="clear" w:color="auto" w:fill="EAF2F8"/>
            <w:tcMar>
              <w:top w:w="120" w:type="dxa"/>
              <w:left w:w="160" w:type="dxa"/>
              <w:bottom w:w="120" w:type="dxa"/>
              <w:right w:w="160" w:type="dxa"/>
            </w:tcMar>
          </w:tcPr>
          <w:p w:rsidP="3D9A853C" w14:paraId="7A2DB5CF" wp14:textId="77777777">
            <w:pPr>
              <w:spacing w:before="0" w:after="40"/>
              <w:jc w:val="both"/>
              <w:rPr>
                <w:rFonts w:ascii="Calibri" w:hAnsi="Calibri" w:eastAsia="Calibri" w:cs="Calibri"/>
                <w:b w:val="1"/>
                <w:bCs w:val="1"/>
                <w:noProof w:val="0"/>
                <w:color w:val="2E5266"/>
                <w:sz w:val="22"/>
                <w:szCs w:val="22"/>
                <w:lang w:val="es-CO"/>
              </w:rPr>
            </w:pPr>
            <w:r w:rsidRPr="3D9A853C" w:rsidR="3D9A853C">
              <w:rPr>
                <w:rFonts w:ascii="Calibri" w:hAnsi="Calibri" w:eastAsia="Calibri" w:cs="Calibri"/>
                <w:b w:val="1"/>
                <w:bCs w:val="1"/>
                <w:noProof w:val="0"/>
                <w:color w:val="2E5266"/>
                <w:sz w:val="22"/>
                <w:szCs w:val="22"/>
                <w:lang w:val="es-CO"/>
              </w:rPr>
              <w:t>Paso 2</w:t>
            </w:r>
          </w:p>
          <w:p w:rsidP="3D9A853C" w14:paraId="0DB4B452" wp14:textId="77777777">
            <w:pPr>
              <w:spacing w:before="0" w:after="0"/>
              <w:jc w:val="both"/>
              <w:rPr>
                <w:rFonts w:ascii="Calibri" w:hAnsi="Calibri" w:eastAsia="Calibri" w:cs="Calibri"/>
                <w:b w:val="1"/>
                <w:bCs w:val="1"/>
                <w:noProof w:val="0"/>
                <w:color w:val="000000"/>
                <w:sz w:val="22"/>
                <w:szCs w:val="22"/>
                <w:lang w:val="es-CO"/>
              </w:rPr>
            </w:pPr>
            <w:r w:rsidRPr="3D9A853C" w:rsidR="3D9A853C">
              <w:rPr>
                <w:rFonts w:ascii="Calibri" w:hAnsi="Calibri" w:eastAsia="Calibri" w:cs="Calibri"/>
                <w:b w:val="1"/>
                <w:bCs w:val="1"/>
                <w:noProof w:val="0"/>
                <w:color w:val="000000"/>
                <w:sz w:val="22"/>
                <w:szCs w:val="22"/>
                <w:lang w:val="es-CO"/>
              </w:rPr>
              <w:t>Conformar el órgano de gobernanza</w:t>
            </w:r>
          </w:p>
        </w:tc>
        <w:tc>
          <w:tcPr>
            <w:tcW w:w="280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0E0394D8" wp14:textId="77777777">
            <w:pPr>
              <w:spacing w:before="0" w:after="0"/>
              <w:jc w:val="both"/>
              <w:rPr>
                <w:rFonts w:ascii="Calibri" w:hAnsi="Calibri" w:eastAsia="Calibri" w:cs="Calibri"/>
                <w:b w:val="1"/>
                <w:bCs w:val="1"/>
                <w:noProof w:val="0"/>
                <w:color w:val="333333"/>
                <w:sz w:val="22"/>
                <w:szCs w:val="22"/>
                <w:lang w:val="es-CO"/>
              </w:rPr>
            </w:pPr>
            <w:r w:rsidRPr="3D9A853C" w:rsidR="3D9A853C">
              <w:rPr>
                <w:rFonts w:ascii="Calibri" w:hAnsi="Calibri" w:eastAsia="Calibri" w:cs="Calibri"/>
                <w:b w:val="1"/>
                <w:bCs w:val="1"/>
                <w:noProof w:val="0"/>
                <w:color w:val="333333"/>
                <w:sz w:val="22"/>
                <w:szCs w:val="22"/>
                <w:lang w:val="es-CO"/>
              </w:rPr>
              <w:t>Crear un espacio formal de coordinación con capacidad de decisión.</w:t>
            </w:r>
          </w:p>
        </w:tc>
        <w:tc>
          <w:tcPr>
            <w:tcW w:w="476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58F58A6D" wp14:textId="77777777">
            <w:pPr>
              <w:spacing w:before="0" w:after="0"/>
              <w:jc w:val="both"/>
              <w:rPr>
                <w:rFonts w:ascii="Calibri" w:hAnsi="Calibri" w:eastAsia="Calibri" w:cs="Calibri"/>
                <w:noProof w:val="0"/>
                <w:sz w:val="22"/>
                <w:szCs w:val="22"/>
                <w:lang w:val="es-CO"/>
              </w:rPr>
            </w:pPr>
            <w:r w:rsidRPr="3D9A853C" w:rsidR="3D9A853C">
              <w:rPr>
                <w:rFonts w:ascii="Calibri" w:hAnsi="Calibri" w:eastAsia="Calibri" w:cs="Calibri"/>
                <w:noProof w:val="0"/>
                <w:sz w:val="22"/>
                <w:szCs w:val="22"/>
                <w:lang w:val="es-CO"/>
              </w:rPr>
              <w:t>Constituyan una mesa o consejo de gobernanza con representación balanceada (sector público, sector privado, sociedad civil, comunidades, academia). Definan: frecuencia de reuniones, quórum mínimo y reglas de entrada y salida de actores.</w:t>
            </w:r>
          </w:p>
        </w:tc>
      </w:tr>
      <w:tr xmlns:wp14="http://schemas.microsoft.com/office/word/2010/wordml" w:rsidTr="3D9A853C" w14:paraId="4AA5FE9C" wp14:textId="77777777">
        <w:tc>
          <w:tcPr>
            <w:tcW w:w="1800" w:type="dxa"/>
            <w:tcBorders>
              <w:top w:val="single" w:color="2E5266" w:sz="4"/>
              <w:left w:val="single" w:color="2E5266" w:sz="4"/>
              <w:bottom w:val="single" w:color="2E5266" w:sz="4"/>
              <w:right w:val="single" w:color="2E5266" w:sz="4"/>
            </w:tcBorders>
            <w:shd w:val="clear" w:color="auto" w:fill="EAF2F8"/>
            <w:tcMar>
              <w:top w:w="120" w:type="dxa"/>
              <w:left w:w="160" w:type="dxa"/>
              <w:bottom w:w="120" w:type="dxa"/>
              <w:right w:w="160" w:type="dxa"/>
            </w:tcMar>
          </w:tcPr>
          <w:p w:rsidP="3D9A853C" w14:paraId="77FB9526" wp14:textId="77777777">
            <w:pPr>
              <w:spacing w:before="0" w:after="40"/>
              <w:jc w:val="both"/>
              <w:rPr>
                <w:rFonts w:ascii="Calibri" w:hAnsi="Calibri" w:eastAsia="Calibri" w:cs="Calibri"/>
                <w:b w:val="1"/>
                <w:bCs w:val="1"/>
                <w:noProof w:val="0"/>
                <w:color w:val="2E5266"/>
                <w:sz w:val="22"/>
                <w:szCs w:val="22"/>
                <w:lang w:val="es-CO"/>
              </w:rPr>
            </w:pPr>
            <w:r w:rsidRPr="3D9A853C" w:rsidR="3D9A853C">
              <w:rPr>
                <w:rFonts w:ascii="Calibri" w:hAnsi="Calibri" w:eastAsia="Calibri" w:cs="Calibri"/>
                <w:b w:val="1"/>
                <w:bCs w:val="1"/>
                <w:noProof w:val="0"/>
                <w:color w:val="2E5266"/>
                <w:sz w:val="22"/>
                <w:szCs w:val="22"/>
                <w:lang w:val="es-CO"/>
              </w:rPr>
              <w:t>Paso 3</w:t>
            </w:r>
          </w:p>
          <w:p w:rsidP="3D9A853C" w14:paraId="77C20CB3" wp14:textId="77777777">
            <w:pPr>
              <w:spacing w:before="0" w:after="0"/>
              <w:jc w:val="both"/>
              <w:rPr>
                <w:rFonts w:ascii="Calibri" w:hAnsi="Calibri" w:eastAsia="Calibri" w:cs="Calibri"/>
                <w:b w:val="1"/>
                <w:bCs w:val="1"/>
                <w:noProof w:val="0"/>
                <w:color w:val="000000"/>
                <w:sz w:val="22"/>
                <w:szCs w:val="22"/>
                <w:lang w:val="es-CO"/>
              </w:rPr>
            </w:pPr>
            <w:r w:rsidRPr="3D9A853C" w:rsidR="3D9A853C">
              <w:rPr>
                <w:rFonts w:ascii="Calibri" w:hAnsi="Calibri" w:eastAsia="Calibri" w:cs="Calibri"/>
                <w:b w:val="1"/>
                <w:bCs w:val="1"/>
                <w:noProof w:val="0"/>
                <w:color w:val="000000"/>
                <w:sz w:val="22"/>
                <w:szCs w:val="22"/>
                <w:lang w:val="es-CO"/>
              </w:rPr>
              <w:t>Crear la secretaría técnica</w:t>
            </w:r>
          </w:p>
        </w:tc>
        <w:tc>
          <w:tcPr>
            <w:tcW w:w="280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31380660" wp14:textId="77777777">
            <w:pPr>
              <w:spacing w:before="0" w:after="0"/>
              <w:jc w:val="both"/>
              <w:rPr>
                <w:rFonts w:ascii="Calibri" w:hAnsi="Calibri" w:eastAsia="Calibri" w:cs="Calibri"/>
                <w:b w:val="1"/>
                <w:bCs w:val="1"/>
                <w:noProof w:val="0"/>
                <w:color w:val="333333"/>
                <w:sz w:val="22"/>
                <w:szCs w:val="22"/>
                <w:lang w:val="es-CO"/>
              </w:rPr>
            </w:pPr>
            <w:r w:rsidRPr="3D9A853C" w:rsidR="3D9A853C">
              <w:rPr>
                <w:rFonts w:ascii="Calibri" w:hAnsi="Calibri" w:eastAsia="Calibri" w:cs="Calibri"/>
                <w:b w:val="1"/>
                <w:bCs w:val="1"/>
                <w:noProof w:val="0"/>
                <w:color w:val="333333"/>
                <w:sz w:val="22"/>
                <w:szCs w:val="22"/>
                <w:lang w:val="es-CO"/>
              </w:rPr>
              <w:t>Designar quién coordina el proceso en el día a día.</w:t>
            </w:r>
          </w:p>
        </w:tc>
        <w:tc>
          <w:tcPr>
            <w:tcW w:w="476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61B862C2" wp14:textId="77777777">
            <w:pPr>
              <w:spacing w:before="0" w:after="0"/>
              <w:jc w:val="both"/>
              <w:rPr>
                <w:rFonts w:ascii="Calibri" w:hAnsi="Calibri" w:eastAsia="Calibri" w:cs="Calibri"/>
                <w:noProof w:val="0"/>
                <w:sz w:val="22"/>
                <w:szCs w:val="22"/>
                <w:lang w:val="es-CO"/>
              </w:rPr>
            </w:pPr>
            <w:r w:rsidRPr="3D9A853C" w:rsidR="3D9A853C">
              <w:rPr>
                <w:rFonts w:ascii="Calibri" w:hAnsi="Calibri" w:eastAsia="Calibri" w:cs="Calibri"/>
                <w:noProof w:val="0"/>
                <w:sz w:val="22"/>
                <w:szCs w:val="22"/>
                <w:lang w:val="es-CO"/>
              </w:rPr>
              <w:t>Definan el actor o persona que cumplirá las funciones de secretaría técnica: convocar reuniones, llevar memorias, gestionar el repositorio de documentos y dar seguimiento a los acuerdos. Especifiquen si el rol rota entre actores, con qué periodicidad y cómo se hace el empalme.</w:t>
            </w:r>
          </w:p>
        </w:tc>
      </w:tr>
      <w:tr xmlns:wp14="http://schemas.microsoft.com/office/word/2010/wordml" w:rsidTr="3D9A853C" w14:paraId="74237C09" wp14:textId="77777777">
        <w:tc>
          <w:tcPr>
            <w:tcW w:w="1800" w:type="dxa"/>
            <w:tcBorders>
              <w:top w:val="single" w:color="2E5266" w:sz="4"/>
              <w:left w:val="single" w:color="2E5266" w:sz="4"/>
              <w:bottom w:val="single" w:color="2E5266" w:sz="4"/>
              <w:right w:val="single" w:color="2E5266" w:sz="4"/>
            </w:tcBorders>
            <w:shd w:val="clear" w:color="auto" w:fill="EAF2F8"/>
            <w:tcMar>
              <w:top w:w="120" w:type="dxa"/>
              <w:left w:w="160" w:type="dxa"/>
              <w:bottom w:w="120" w:type="dxa"/>
              <w:right w:w="160" w:type="dxa"/>
            </w:tcMar>
          </w:tcPr>
          <w:p w:rsidP="3D9A853C" w14:paraId="54D6CA44" wp14:textId="77777777">
            <w:pPr>
              <w:spacing w:before="0" w:after="40"/>
              <w:jc w:val="both"/>
              <w:rPr>
                <w:rFonts w:ascii="Calibri" w:hAnsi="Calibri" w:eastAsia="Calibri" w:cs="Calibri"/>
                <w:b w:val="1"/>
                <w:bCs w:val="1"/>
                <w:noProof w:val="0"/>
                <w:color w:val="2E5266"/>
                <w:sz w:val="22"/>
                <w:szCs w:val="22"/>
                <w:lang w:val="es-CO"/>
              </w:rPr>
            </w:pPr>
            <w:r w:rsidRPr="3D9A853C" w:rsidR="3D9A853C">
              <w:rPr>
                <w:rFonts w:ascii="Calibri" w:hAnsi="Calibri" w:eastAsia="Calibri" w:cs="Calibri"/>
                <w:b w:val="1"/>
                <w:bCs w:val="1"/>
                <w:noProof w:val="0"/>
                <w:color w:val="2E5266"/>
                <w:sz w:val="22"/>
                <w:szCs w:val="22"/>
                <w:lang w:val="es-CO"/>
              </w:rPr>
              <w:t>Paso 4</w:t>
            </w:r>
          </w:p>
          <w:p w:rsidP="3D9A853C" w14:paraId="285A821D" wp14:textId="77777777">
            <w:pPr>
              <w:spacing w:before="0" w:after="0"/>
              <w:jc w:val="both"/>
              <w:rPr>
                <w:rFonts w:ascii="Calibri" w:hAnsi="Calibri" w:eastAsia="Calibri" w:cs="Calibri"/>
                <w:b w:val="1"/>
                <w:bCs w:val="1"/>
                <w:noProof w:val="0"/>
                <w:color w:val="000000"/>
                <w:sz w:val="22"/>
                <w:szCs w:val="22"/>
                <w:lang w:val="es-CO"/>
              </w:rPr>
            </w:pPr>
            <w:r w:rsidRPr="3D9A853C" w:rsidR="3D9A853C">
              <w:rPr>
                <w:rFonts w:ascii="Calibri" w:hAnsi="Calibri" w:eastAsia="Calibri" w:cs="Calibri"/>
                <w:b w:val="1"/>
                <w:bCs w:val="1"/>
                <w:noProof w:val="0"/>
                <w:color w:val="000000"/>
                <w:sz w:val="22"/>
                <w:szCs w:val="22"/>
                <w:lang w:val="es-CO"/>
              </w:rPr>
              <w:t>Pactar reglas de coordinación</w:t>
            </w:r>
          </w:p>
        </w:tc>
        <w:tc>
          <w:tcPr>
            <w:tcW w:w="280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5C522211" wp14:textId="77777777">
            <w:pPr>
              <w:spacing w:before="0" w:after="0"/>
              <w:jc w:val="both"/>
              <w:rPr>
                <w:rFonts w:ascii="Calibri" w:hAnsi="Calibri" w:eastAsia="Calibri" w:cs="Calibri"/>
                <w:b w:val="1"/>
                <w:bCs w:val="1"/>
                <w:noProof w:val="0"/>
                <w:color w:val="333333"/>
                <w:sz w:val="22"/>
                <w:szCs w:val="22"/>
                <w:lang w:val="es-CO"/>
              </w:rPr>
            </w:pPr>
            <w:r w:rsidRPr="3D9A853C" w:rsidR="3D9A853C">
              <w:rPr>
                <w:rFonts w:ascii="Calibri" w:hAnsi="Calibri" w:eastAsia="Calibri" w:cs="Calibri"/>
                <w:b w:val="1"/>
                <w:bCs w:val="1"/>
                <w:noProof w:val="0"/>
                <w:color w:val="333333"/>
                <w:sz w:val="22"/>
                <w:szCs w:val="22"/>
                <w:lang w:val="es-CO"/>
              </w:rPr>
              <w:t>Establecer cómo se toman decisiones y se resuelven los desacuerdos.</w:t>
            </w:r>
          </w:p>
        </w:tc>
        <w:tc>
          <w:tcPr>
            <w:tcW w:w="476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48CDE3F7" wp14:textId="77777777">
            <w:pPr>
              <w:spacing w:before="0" w:after="0"/>
              <w:jc w:val="both"/>
              <w:rPr>
                <w:rFonts w:ascii="Calibri" w:hAnsi="Calibri" w:eastAsia="Calibri" w:cs="Calibri"/>
                <w:noProof w:val="0"/>
                <w:sz w:val="22"/>
                <w:szCs w:val="22"/>
                <w:lang w:val="es-CO"/>
              </w:rPr>
            </w:pPr>
            <w:r w:rsidRPr="3D9A853C" w:rsidR="3D9A853C">
              <w:rPr>
                <w:rFonts w:ascii="Calibri" w:hAnsi="Calibri" w:eastAsia="Calibri" w:cs="Calibri"/>
                <w:noProof w:val="0"/>
                <w:sz w:val="22"/>
                <w:szCs w:val="22"/>
                <w:lang w:val="es-CO"/>
              </w:rPr>
              <w:t>Diseñen un protocolo de coordinación: cómo se convoca, qué temas se acuerdan por consenso y cuáles por votación, cómo se manejan los conflictos internos, y cuál es el procedimiento cuando un actor incumple un compromiso.</w:t>
            </w:r>
          </w:p>
        </w:tc>
      </w:tr>
      <w:tr xmlns:wp14="http://schemas.microsoft.com/office/word/2010/wordml" w:rsidTr="3D9A853C" w14:paraId="1B9DAE85" wp14:textId="77777777">
        <w:tc>
          <w:tcPr>
            <w:tcW w:w="1800" w:type="dxa"/>
            <w:tcBorders>
              <w:top w:val="single" w:color="2E5266" w:sz="4"/>
              <w:left w:val="single" w:color="2E5266" w:sz="4"/>
              <w:bottom w:val="single" w:color="2E5266" w:sz="4"/>
              <w:right w:val="single" w:color="2E5266" w:sz="4"/>
            </w:tcBorders>
            <w:shd w:val="clear" w:color="auto" w:fill="EAF2F8"/>
            <w:tcMar>
              <w:top w:w="120" w:type="dxa"/>
              <w:left w:w="160" w:type="dxa"/>
              <w:bottom w:w="120" w:type="dxa"/>
              <w:right w:w="160" w:type="dxa"/>
            </w:tcMar>
          </w:tcPr>
          <w:p w:rsidP="3D9A853C" w14:paraId="53CB0AC3" wp14:textId="77777777">
            <w:pPr>
              <w:spacing w:before="0" w:after="40"/>
              <w:jc w:val="both"/>
              <w:rPr>
                <w:rFonts w:ascii="Calibri" w:hAnsi="Calibri" w:eastAsia="Calibri" w:cs="Calibri"/>
                <w:b w:val="1"/>
                <w:bCs w:val="1"/>
                <w:noProof w:val="0"/>
                <w:color w:val="2E5266"/>
                <w:sz w:val="22"/>
                <w:szCs w:val="22"/>
                <w:lang w:val="es-CO"/>
              </w:rPr>
            </w:pPr>
            <w:r w:rsidRPr="3D9A853C" w:rsidR="3D9A853C">
              <w:rPr>
                <w:rFonts w:ascii="Calibri" w:hAnsi="Calibri" w:eastAsia="Calibri" w:cs="Calibri"/>
                <w:b w:val="1"/>
                <w:bCs w:val="1"/>
                <w:noProof w:val="0"/>
                <w:color w:val="2E5266"/>
                <w:sz w:val="22"/>
                <w:szCs w:val="22"/>
                <w:lang w:val="es-CO"/>
              </w:rPr>
              <w:t>Paso 5</w:t>
            </w:r>
          </w:p>
          <w:p w:rsidP="3D9A853C" w14:paraId="06E4B4A6" wp14:textId="77777777">
            <w:pPr>
              <w:spacing w:before="0" w:after="0"/>
              <w:jc w:val="both"/>
              <w:rPr>
                <w:rFonts w:ascii="Calibri" w:hAnsi="Calibri" w:eastAsia="Calibri" w:cs="Calibri"/>
                <w:b w:val="1"/>
                <w:bCs w:val="1"/>
                <w:noProof w:val="0"/>
                <w:color w:val="000000"/>
                <w:sz w:val="22"/>
                <w:szCs w:val="22"/>
                <w:lang w:val="es-CO"/>
              </w:rPr>
            </w:pPr>
            <w:r w:rsidRPr="3D9A853C" w:rsidR="3D9A853C">
              <w:rPr>
                <w:rFonts w:ascii="Calibri" w:hAnsi="Calibri" w:eastAsia="Calibri" w:cs="Calibri"/>
                <w:b w:val="1"/>
                <w:bCs w:val="1"/>
                <w:noProof w:val="0"/>
                <w:color w:val="000000"/>
                <w:sz w:val="22"/>
                <w:szCs w:val="22"/>
                <w:lang w:val="es-CO"/>
              </w:rPr>
              <w:t>Establecer canales</w:t>
            </w:r>
          </w:p>
        </w:tc>
        <w:tc>
          <w:tcPr>
            <w:tcW w:w="280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4EBABF71" wp14:textId="77777777">
            <w:pPr>
              <w:spacing w:before="0" w:after="0"/>
              <w:jc w:val="both"/>
              <w:rPr>
                <w:rFonts w:ascii="Calibri" w:hAnsi="Calibri" w:eastAsia="Calibri" w:cs="Calibri"/>
                <w:b w:val="1"/>
                <w:bCs w:val="1"/>
                <w:noProof w:val="0"/>
                <w:color w:val="333333"/>
                <w:sz w:val="22"/>
                <w:szCs w:val="22"/>
                <w:lang w:val="es-CO"/>
              </w:rPr>
            </w:pPr>
            <w:r w:rsidRPr="3D9A853C" w:rsidR="3D9A853C">
              <w:rPr>
                <w:rFonts w:ascii="Calibri" w:hAnsi="Calibri" w:eastAsia="Calibri" w:cs="Calibri"/>
                <w:b w:val="1"/>
                <w:bCs w:val="1"/>
                <w:noProof w:val="0"/>
                <w:color w:val="333333"/>
                <w:sz w:val="22"/>
                <w:szCs w:val="22"/>
                <w:lang w:val="es-CO"/>
              </w:rPr>
              <w:t>Promover comunicación constante y bidireccional entre actores.</w:t>
            </w:r>
          </w:p>
        </w:tc>
        <w:tc>
          <w:tcPr>
            <w:tcW w:w="476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36378DC2" wp14:textId="77777777">
            <w:pPr>
              <w:spacing w:before="0" w:after="0"/>
              <w:jc w:val="both"/>
              <w:rPr>
                <w:rFonts w:ascii="Calibri" w:hAnsi="Calibri" w:eastAsia="Calibri" w:cs="Calibri"/>
                <w:noProof w:val="0"/>
                <w:sz w:val="22"/>
                <w:szCs w:val="22"/>
                <w:lang w:val="es-CO"/>
              </w:rPr>
            </w:pPr>
            <w:r w:rsidRPr="3D9A853C" w:rsidR="3D9A853C">
              <w:rPr>
                <w:rFonts w:ascii="Calibri" w:hAnsi="Calibri" w:eastAsia="Calibri" w:cs="Calibri"/>
                <w:noProof w:val="0"/>
                <w:sz w:val="22"/>
                <w:szCs w:val="22"/>
                <w:lang w:val="es-CO"/>
              </w:rPr>
              <w:t>Definan al menos un canal oficial de información (boletín, repositorio, portal compartido) y un espacio de diálogo continuo (grupo de mensajería, mesa temática). Establezcan reglas claras: quién publica, con qué frecuencia y cómo se responde.</w:t>
            </w:r>
          </w:p>
        </w:tc>
      </w:tr>
      <w:tr xmlns:wp14="http://schemas.microsoft.com/office/word/2010/wordml" w:rsidTr="3D9A853C" w14:paraId="2C6CC8C8" wp14:textId="77777777">
        <w:tc>
          <w:tcPr>
            <w:tcW w:w="1800" w:type="dxa"/>
            <w:tcBorders>
              <w:top w:val="single" w:color="2E5266" w:sz="4"/>
              <w:left w:val="single" w:color="2E5266" w:sz="4"/>
              <w:bottom w:val="single" w:color="2E5266" w:sz="4"/>
              <w:right w:val="single" w:color="2E5266" w:sz="4"/>
            </w:tcBorders>
            <w:shd w:val="clear" w:color="auto" w:fill="EAF2F8"/>
            <w:tcMar>
              <w:top w:w="120" w:type="dxa"/>
              <w:left w:w="160" w:type="dxa"/>
              <w:bottom w:w="120" w:type="dxa"/>
              <w:right w:w="160" w:type="dxa"/>
            </w:tcMar>
          </w:tcPr>
          <w:p w:rsidP="3D9A853C" w14:paraId="2F4AD40C" wp14:textId="77777777">
            <w:pPr>
              <w:spacing w:before="0" w:after="40"/>
              <w:jc w:val="both"/>
              <w:rPr>
                <w:rFonts w:ascii="Calibri" w:hAnsi="Calibri" w:eastAsia="Calibri" w:cs="Calibri"/>
                <w:b w:val="1"/>
                <w:bCs w:val="1"/>
                <w:noProof w:val="0"/>
                <w:color w:val="2E5266"/>
                <w:sz w:val="22"/>
                <w:szCs w:val="22"/>
                <w:lang w:val="es-CO"/>
              </w:rPr>
            </w:pPr>
            <w:r w:rsidRPr="3D9A853C" w:rsidR="3D9A853C">
              <w:rPr>
                <w:rFonts w:ascii="Calibri" w:hAnsi="Calibri" w:eastAsia="Calibri" w:cs="Calibri"/>
                <w:b w:val="1"/>
                <w:bCs w:val="1"/>
                <w:noProof w:val="0"/>
                <w:color w:val="2E5266"/>
                <w:sz w:val="22"/>
                <w:szCs w:val="22"/>
                <w:lang w:val="es-CO"/>
              </w:rPr>
              <w:t>Paso 6</w:t>
            </w:r>
          </w:p>
          <w:p w:rsidP="3D9A853C" w14:paraId="603DF18A" wp14:textId="77777777">
            <w:pPr>
              <w:spacing w:before="0" w:after="0"/>
              <w:jc w:val="both"/>
              <w:rPr>
                <w:rFonts w:ascii="Calibri" w:hAnsi="Calibri" w:eastAsia="Calibri" w:cs="Calibri"/>
                <w:b w:val="1"/>
                <w:bCs w:val="1"/>
                <w:noProof w:val="0"/>
                <w:color w:val="000000"/>
                <w:sz w:val="22"/>
                <w:szCs w:val="22"/>
                <w:lang w:val="es-CO"/>
              </w:rPr>
            </w:pPr>
            <w:r w:rsidRPr="3D9A853C" w:rsidR="3D9A853C">
              <w:rPr>
                <w:rFonts w:ascii="Calibri" w:hAnsi="Calibri" w:eastAsia="Calibri" w:cs="Calibri"/>
                <w:b w:val="1"/>
                <w:bCs w:val="1"/>
                <w:noProof w:val="0"/>
                <w:color w:val="000000"/>
                <w:sz w:val="22"/>
                <w:szCs w:val="22"/>
                <w:lang w:val="es-CO"/>
              </w:rPr>
              <w:t>Fortalecer la confianza entre actores</w:t>
            </w:r>
          </w:p>
        </w:tc>
        <w:tc>
          <w:tcPr>
            <w:tcW w:w="280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11B51735" wp14:textId="77777777">
            <w:pPr>
              <w:spacing w:before="0" w:after="0"/>
              <w:jc w:val="both"/>
              <w:rPr>
                <w:rFonts w:ascii="Calibri" w:hAnsi="Calibri" w:eastAsia="Calibri" w:cs="Calibri"/>
                <w:b w:val="1"/>
                <w:bCs w:val="1"/>
                <w:noProof w:val="0"/>
                <w:color w:val="333333"/>
                <w:sz w:val="22"/>
                <w:szCs w:val="22"/>
                <w:lang w:val="es-CO"/>
              </w:rPr>
            </w:pPr>
            <w:r w:rsidRPr="3D9A853C" w:rsidR="3D9A853C">
              <w:rPr>
                <w:rFonts w:ascii="Calibri" w:hAnsi="Calibri" w:eastAsia="Calibri" w:cs="Calibri"/>
                <w:b w:val="1"/>
                <w:bCs w:val="1"/>
                <w:noProof w:val="0"/>
                <w:color w:val="333333"/>
                <w:sz w:val="22"/>
                <w:szCs w:val="22"/>
                <w:lang w:val="es-CO"/>
              </w:rPr>
              <w:t>Crear condiciones para la colaboración basada en aportes recíprocos.</w:t>
            </w:r>
          </w:p>
        </w:tc>
        <w:tc>
          <w:tcPr>
            <w:tcW w:w="4760" w:type="dxa"/>
            <w:tcBorders>
              <w:top w:val="single" w:color="BFBFBF" w:sz="4"/>
              <w:left w:val="single" w:color="BFBFBF" w:sz="4"/>
              <w:bottom w:val="single" w:color="BFBFBF" w:sz="4"/>
              <w:right w:val="single" w:color="BFBFBF" w:sz="4"/>
            </w:tcBorders>
            <w:tcMar>
              <w:top w:w="120" w:type="dxa"/>
              <w:left w:w="160" w:type="dxa"/>
              <w:bottom w:w="120" w:type="dxa"/>
              <w:right w:w="160" w:type="dxa"/>
            </w:tcMar>
          </w:tcPr>
          <w:p w:rsidP="3D9A853C" w14:paraId="11EE4084" wp14:textId="77777777">
            <w:pPr>
              <w:spacing w:before="0" w:after="0"/>
              <w:jc w:val="both"/>
              <w:rPr>
                <w:rFonts w:ascii="Calibri" w:hAnsi="Calibri" w:eastAsia="Calibri" w:cs="Calibri"/>
                <w:noProof w:val="0"/>
                <w:sz w:val="22"/>
                <w:szCs w:val="22"/>
                <w:lang w:val="es-CO"/>
              </w:rPr>
            </w:pPr>
            <w:r w:rsidRPr="3D9A853C" w:rsidR="3D9A853C">
              <w:rPr>
                <w:rFonts w:ascii="Calibri" w:hAnsi="Calibri" w:eastAsia="Calibri" w:cs="Calibri"/>
                <w:noProof w:val="0"/>
                <w:sz w:val="22"/>
                <w:szCs w:val="22"/>
                <w:lang w:val="es-CO"/>
              </w:rPr>
              <w:t>Diseñen espacios de coproducción de conocimiento y de reconocimiento mutuo. En contextos de desconfianza histórica, consideren un encuentro de apertura sin agenda de decisiones — solo para escucharse. Los acuerdos de confianza se sostienen con cumplimiento y transparencia, no solo con buenas intenciones.</w:t>
            </w:r>
          </w:p>
        </w:tc>
      </w:tr>
    </w:tbl>
    <w:p xmlns:wp14="http://schemas.microsoft.com/office/word/2010/wordml" w:rsidP="3D9A853C" w14:paraId="5CA8DEE2" wp14:textId="77777777">
      <w:pPr>
        <w:spacing w:before="240" w:after="80"/>
        <w:jc w:val="both"/>
        <w:rPr>
          <w:rFonts w:ascii="Calibri" w:hAnsi="Calibri" w:eastAsia="Calibri" w:cs="Calibri"/>
          <w:i w:val="1"/>
          <w:iCs w:val="1"/>
          <w:noProof w:val="0"/>
          <w:sz w:val="22"/>
          <w:szCs w:val="22"/>
          <w:lang w:val="es-CO"/>
        </w:rPr>
      </w:pPr>
      <w:r w:rsidRPr="3D9A853C" w:rsidR="3D9A853C">
        <w:rPr>
          <w:rFonts w:ascii="Calibri" w:hAnsi="Calibri" w:eastAsia="Calibri" w:cs="Calibri"/>
          <w:b w:val="1"/>
          <w:bCs w:val="1"/>
          <w:noProof w:val="0"/>
          <w:color w:val="2E5266"/>
          <w:sz w:val="22"/>
          <w:szCs w:val="22"/>
          <w:lang w:val="es-CO"/>
        </w:rPr>
        <w:t xml:space="preserve">Nota:  </w:t>
      </w:r>
      <w:r w:rsidRPr="3D9A853C" w:rsidR="3D9A853C">
        <w:rPr>
          <w:rFonts w:ascii="Calibri" w:hAnsi="Calibri" w:eastAsia="Calibri" w:cs="Calibri"/>
          <w:i w:val="1"/>
          <w:iCs w:val="1"/>
          <w:noProof w:val="0"/>
          <w:sz w:val="22"/>
          <w:szCs w:val="22"/>
          <w:lang w:val="es-CO"/>
        </w:rPr>
        <w:t>Este protocolo es un documento vivo. Revísenlo y ajústenlo al inicio de cada etapa del proceso. Su cumplimiento es responsabilidad compartida de todos los actores que lo ratifican.</w:t>
      </w:r>
    </w:p>
    <w:p xmlns:wp14="http://schemas.microsoft.com/office/word/2010/wordml" w:rsidP="3D9A853C" w14:paraId="672A6659" wp14:textId="77777777">
      <w:pPr>
        <w:spacing w:before="200" w:after="80"/>
        <w:jc w:val="both"/>
        <w:rPr>
          <w:rFonts w:ascii="Calibri" w:hAnsi="Calibri" w:eastAsia="Calibri" w:cs="Calibri"/>
          <w:noProof w:val="0"/>
          <w:sz w:val="22"/>
          <w:szCs w:val="22"/>
          <w:lang w:val="es-CO"/>
        </w:rPr>
      </w:pPr>
    </w:p>
    <w:p xmlns:wp14="http://schemas.microsoft.com/office/word/2010/wordml" w:rsidP="3D9A853C" w14:paraId="6BB45207" wp14:textId="77777777">
      <w:pPr>
        <w:spacing w:before="0" w:after="80"/>
        <w:jc w:val="both"/>
        <w:rPr>
          <w:rFonts w:ascii="Calibri" w:hAnsi="Calibri" w:eastAsia="Calibri" w:cs="Calibri"/>
          <w:b w:val="0"/>
          <w:bCs w:val="0"/>
          <w:i w:val="0"/>
          <w:iCs w:val="0"/>
          <w:noProof w:val="0"/>
          <w:color w:val="000000"/>
          <w:sz w:val="22"/>
          <w:szCs w:val="22"/>
          <w:lang w:val="es-CO"/>
        </w:rPr>
      </w:pPr>
      <w:r w:rsidRPr="3D9A853C" w:rsidR="3D9A853C">
        <w:rPr>
          <w:rFonts w:ascii="Calibri" w:hAnsi="Calibri" w:eastAsia="Calibri" w:cs="Calibri"/>
          <w:b w:val="1"/>
          <w:bCs w:val="1"/>
          <w:i w:val="0"/>
          <w:iCs w:val="0"/>
          <w:noProof w:val="0"/>
          <w:color w:val="2E5266"/>
          <w:sz w:val="22"/>
          <w:szCs w:val="22"/>
          <w:lang w:val="es-CO"/>
        </w:rPr>
        <w:t>FUENTE</w:t>
      </w:r>
      <w:r w:rsidRPr="3D9A853C" w:rsidR="3D9A853C">
        <w:rPr>
          <w:rFonts w:ascii="Calibri" w:hAnsi="Calibri" w:eastAsia="Calibri" w:cs="Calibri"/>
          <w:b w:val="0"/>
          <w:bCs w:val="0"/>
          <w:i w:val="0"/>
          <w:iCs w:val="0"/>
          <w:noProof w:val="0"/>
          <w:color w:val="000000"/>
          <w:sz w:val="22"/>
          <w:szCs w:val="22"/>
          <w:lang w:val="es-CO"/>
        </w:rPr>
        <w:t xml:space="preserve"> — Las recomendaciones de este insumo sintetizan los hallazgos del policy brief de Diálogo en Acción (NIMD Colombia, 2026), particularmente la sección de Gobernanza del proceso. Para profundizar, consulten el policy brief completo.</w:t>
      </w:r>
    </w:p>
    <w:sectPr>
      <w:pgSz w:w="12240" w:h="15840"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579678b5"/>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proofState w:spelling="clean" w:grammar="dirty"/>
  <w:trackRevisions w:val="false"/>
  <w:defaultTabStop w:val="720"/>
  <w:evenAndOddHeaders w:val="false"/>
  <w:compat>
    <w:compatSetting w:val="15" w:name="compatibilityMode" w:uri="http://schemas.microsoft.com/office/word"/>
  </w:compat>
  <w14:docId w14:val="7D08DD15"/>
  <w15:docId w15:val="{C5F2119E-003B-4066-9086-A0BCA358961A}"/>
  <w:rsids>
    <w:rsidRoot w:val="3A6CAD01"/>
    <w:rsid w:val="3A6CAD01"/>
    <w:rsid w:val="3D9A853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Alisson Acosta</lastModifiedBy>
  <revision>2</revision>
  <dcterms:created xsi:type="dcterms:W3CDTF">2026-05-11T17:06:59.2950000Z</dcterms:created>
  <dcterms:modified xsi:type="dcterms:W3CDTF">2026-05-11T17:10:04.3948833Z</dcterms:modified>
</coreProperties>
</file>

<file path=docProps/custom.xml><?xml version="1.0" encoding="utf-8"?>
<Properties xmlns="http://schemas.openxmlformats.org/officeDocument/2006/custom-properties" xmlns:vt="http://schemas.openxmlformats.org/officeDocument/2006/docPropsVTypes"/>
</file>