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header.xml" ContentType="application/vnd.openxmlformats-officedocument.wordprocessingml.header+xml"/>
  <Override PartName="/word/people.xml" ContentType="application/vnd.openxmlformats-officedocument.wordprocessingml.people+xml"/>
  <Override PartName="/word/footer.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50EA1585" w14:paraId="717C5D5F" wp14:textId="77777777">
      <w:pPr>
        <w:spacing w:before="0" w:after="60"/>
        <w:jc w:val="both"/>
        <w:rPr>
          <w:rFonts w:ascii="Calibri" w:hAnsi="Calibri" w:eastAsia="Calibri" w:cs="Calibri"/>
          <w:b w:val="1"/>
          <w:bCs w:val="1"/>
          <w:i w:val="0"/>
          <w:iCs w:val="0"/>
          <w:noProof w:val="0"/>
          <w:color w:val="2E5266"/>
          <w:sz w:val="22"/>
          <w:szCs w:val="22"/>
          <w:lang w:val="es-CO"/>
        </w:rPr>
      </w:pPr>
      <w:r w:rsidRPr="50EA1585" w:rsidR="50EA1585">
        <w:rPr>
          <w:rFonts w:ascii="Calibri" w:hAnsi="Calibri" w:eastAsia="Calibri" w:cs="Calibri"/>
          <w:b w:val="1"/>
          <w:bCs w:val="1"/>
          <w:i w:val="0"/>
          <w:iCs w:val="0"/>
          <w:noProof w:val="0"/>
          <w:color w:val="2E5266"/>
          <w:sz w:val="22"/>
          <w:szCs w:val="22"/>
          <w:lang w:val="es-CO"/>
        </w:rPr>
        <w:t>CONVOCATORIA INCLUYENTE · INSUMO 5</w:t>
      </w:r>
    </w:p>
    <w:p xmlns:wp14="http://schemas.microsoft.com/office/word/2010/wordml" w:rsidP="50EA1585" w14:paraId="3A1F4E0A" wp14:textId="77777777">
      <w:pPr>
        <w:spacing w:before="0" w:after="120"/>
        <w:jc w:val="both"/>
        <w:rPr>
          <w:rFonts w:ascii="Calibri" w:hAnsi="Calibri" w:eastAsia="Calibri" w:cs="Calibri"/>
          <w:b w:val="1"/>
          <w:bCs w:val="1"/>
          <w:i w:val="0"/>
          <w:iCs w:val="0"/>
          <w:noProof w:val="0"/>
          <w:color w:val="000000"/>
          <w:sz w:val="22"/>
          <w:szCs w:val="22"/>
          <w:lang w:val="es-CO"/>
        </w:rPr>
      </w:pPr>
      <w:r w:rsidRPr="50EA1585" w:rsidR="50EA1585">
        <w:rPr>
          <w:rFonts w:ascii="Calibri" w:hAnsi="Calibri" w:eastAsia="Calibri" w:cs="Calibri"/>
          <w:b w:val="1"/>
          <w:bCs w:val="1"/>
          <w:i w:val="0"/>
          <w:iCs w:val="0"/>
          <w:noProof w:val="0"/>
          <w:color w:val="000000"/>
          <w:sz w:val="22"/>
          <w:szCs w:val="22"/>
          <w:lang w:val="es-CO"/>
        </w:rPr>
        <w:t>Lentes interseccionales para revisar la convocatoria</w:t>
      </w:r>
    </w:p>
    <w:p xmlns:wp14="http://schemas.microsoft.com/office/word/2010/wordml" w:rsidP="50EA1585" w14:paraId="2774CACF" wp14:textId="77777777">
      <w:pPr>
        <w:spacing w:before="0" w:after="80"/>
        <w:jc w:val="both"/>
        <w:rPr>
          <w:rFonts w:ascii="Calibri" w:hAnsi="Calibri" w:eastAsia="Calibri" w:cs="Calibri"/>
          <w:b w:val="0"/>
          <w:bCs w:val="0"/>
          <w:i w:val="1"/>
          <w:iCs w:val="1"/>
          <w:noProof w:val="0"/>
          <w:color w:val="000000"/>
          <w:sz w:val="22"/>
          <w:szCs w:val="22"/>
          <w:lang w:val="es-CO"/>
        </w:rPr>
      </w:pPr>
      <w:r w:rsidRPr="50EA1585" w:rsidR="50EA1585">
        <w:rPr>
          <w:rFonts w:ascii="Calibri" w:hAnsi="Calibri" w:eastAsia="Calibri" w:cs="Calibri"/>
          <w:b w:val="0"/>
          <w:bCs w:val="0"/>
          <w:i w:val="1"/>
          <w:iCs w:val="1"/>
          <w:noProof w:val="0"/>
          <w:color w:val="000000"/>
          <w:sz w:val="22"/>
          <w:szCs w:val="22"/>
          <w:lang w:val="es-CO"/>
        </w:rPr>
        <w:t>Herramienta para mirar la convocatoria desde lentes que se cruzan —de género, etaria, étnica y territorial, de capacidades— y revisar dos preguntas que ningún otro insumo aborda: cómo operan los cruces de desigualdad en los conflictos socioambientales y cómo se distingue la asistencia de la incidencia en procesos de gobernanza ambiental.</w:t>
      </w:r>
    </w:p>
    <w:p xmlns:wp14="http://schemas.microsoft.com/office/word/2010/wordml" w:rsidP="50EA1585" w14:paraId="6F471986" wp14:textId="77777777">
      <w:pPr>
        <w:spacing w:before="0" w:after="240"/>
        <w:jc w:val="both"/>
        <w:rPr>
          <w:rFonts w:ascii="Calibri" w:hAnsi="Calibri" w:eastAsia="Calibri" w:cs="Calibri"/>
          <w:b w:val="0"/>
          <w:bCs w:val="0"/>
          <w:i w:val="0"/>
          <w:iCs w:val="0"/>
          <w:noProof w:val="0"/>
          <w:color w:val="666666"/>
          <w:sz w:val="22"/>
          <w:szCs w:val="22"/>
          <w:lang w:val="es-CO"/>
        </w:rPr>
      </w:pPr>
      <w:r w:rsidRPr="50EA1585" w:rsidR="50EA1585">
        <w:rPr>
          <w:rFonts w:ascii="Calibri" w:hAnsi="Calibri" w:eastAsia="Calibri" w:cs="Calibri"/>
          <w:b w:val="0"/>
          <w:bCs w:val="0"/>
          <w:i w:val="0"/>
          <w:iCs w:val="0"/>
          <w:noProof w:val="0"/>
          <w:color w:val="666666"/>
          <w:sz w:val="22"/>
          <w:szCs w:val="22"/>
          <w:lang w:val="es-CO"/>
        </w:rPr>
        <w:t>NIMD Colombia · GIZ · 2026</w:t>
      </w:r>
    </w:p>
    <w:p xmlns:wp14="http://schemas.microsoft.com/office/word/2010/wordml" w:rsidP="50EA1585" w14:paraId="5ACD5768" wp14:textId="77777777">
      <w:pPr>
        <w:spacing w:before="320" w:after="140"/>
        <w:jc w:val="both"/>
        <w:rPr>
          <w:rFonts w:ascii="Calibri" w:hAnsi="Calibri" w:eastAsia="Calibri" w:cs="Calibri"/>
          <w:b w:val="1"/>
          <w:bCs w:val="1"/>
          <w:noProof w:val="0"/>
          <w:color w:val="2E5266"/>
          <w:sz w:val="22"/>
          <w:szCs w:val="22"/>
          <w:lang w:val="es-CO"/>
        </w:rPr>
      </w:pPr>
      <w:r w:rsidRPr="50EA1585" w:rsidR="50EA1585">
        <w:rPr>
          <w:rFonts w:ascii="Calibri" w:hAnsi="Calibri" w:eastAsia="Calibri" w:cs="Calibri"/>
          <w:b w:val="1"/>
          <w:bCs w:val="1"/>
          <w:noProof w:val="0"/>
          <w:color w:val="2E5266"/>
          <w:sz w:val="22"/>
          <w:szCs w:val="22"/>
          <w:lang w:val="es-CO"/>
        </w:rPr>
        <w:t>1. ¿Para qué sirve esta herramienta?</w:t>
      </w:r>
    </w:p>
    <w:p xmlns:wp14="http://schemas.microsoft.com/office/word/2010/wordml" w:rsidP="50EA1585" w14:paraId="2C9F04AE" wp14:textId="77777777">
      <w:pPr>
        <w:spacing w:before="0" w:after="80"/>
        <w:jc w:val="both"/>
        <w:rPr>
          <w:rFonts w:ascii="Calibri" w:hAnsi="Calibri" w:eastAsia="Calibri" w:cs="Calibri"/>
          <w:b w:val="0"/>
          <w:bCs w:val="0"/>
          <w:i w:val="0"/>
          <w:iCs w:val="0"/>
          <w:noProof w:val="0"/>
          <w:color w:val="000000"/>
          <w:sz w:val="22"/>
          <w:szCs w:val="22"/>
          <w:lang w:val="es-CO"/>
        </w:rPr>
      </w:pPr>
      <w:r w:rsidRPr="50EA1585" w:rsidR="50EA1585">
        <w:rPr>
          <w:rFonts w:ascii="Calibri" w:hAnsi="Calibri" w:eastAsia="Calibri" w:cs="Calibri"/>
          <w:b w:val="0"/>
          <w:bCs w:val="0"/>
          <w:i w:val="0"/>
          <w:iCs w:val="0"/>
          <w:noProof w:val="0"/>
          <w:color w:val="000000"/>
          <w:sz w:val="22"/>
          <w:szCs w:val="22"/>
          <w:lang w:val="es-CO"/>
        </w:rPr>
        <w:t>Este insumo aplica una mirada interseccional sobre la convocatoria. No cataloga barreras —eso ya lo hacen el Mapa de actores (1.2) y la Guía de decisión para reactivar la convocatoria (2.4)— sino que pregunta cómo las desigualdades estructurales se cruzan en los conflictos socioambientales, qué grupos cargan con cargas diferenciales en el territorio, y si quienes asisten al espacio realmente tienen condiciones para incidir en las decisiones ambientales que les afectan.</w:t>
      </w:r>
    </w:p>
    <w:p xmlns:wp14="http://schemas.microsoft.com/office/word/2010/wordml" w:rsidP="50EA1585" w14:paraId="4D1BA218" wp14:textId="77777777">
      <w:pPr>
        <w:spacing w:before="0" w:after="120"/>
        <w:jc w:val="both"/>
        <w:rPr>
          <w:rFonts w:ascii="Calibri" w:hAnsi="Calibri" w:eastAsia="Calibri" w:cs="Calibri"/>
          <w:b w:val="0"/>
          <w:bCs w:val="0"/>
          <w:i w:val="0"/>
          <w:iCs w:val="0"/>
          <w:noProof w:val="0"/>
          <w:color w:val="000000"/>
          <w:sz w:val="22"/>
          <w:szCs w:val="22"/>
          <w:lang w:val="es-CO"/>
        </w:rPr>
      </w:pPr>
      <w:r w:rsidRPr="50EA1585" w:rsidR="50EA1585">
        <w:rPr>
          <w:rFonts w:ascii="Calibri" w:hAnsi="Calibri" w:eastAsia="Calibri" w:cs="Calibri"/>
          <w:b w:val="0"/>
          <w:bCs w:val="0"/>
          <w:i w:val="0"/>
          <w:iCs w:val="0"/>
          <w:noProof w:val="0"/>
          <w:color w:val="000000"/>
          <w:sz w:val="22"/>
          <w:szCs w:val="22"/>
          <w:lang w:val="es-CO"/>
        </w:rPr>
        <w:t>Pueden recorrerlo con el equipo coordinador antes de cerrar la convocatoria, y volver a él después de cada ronda para detectar si alguna lente —o algún cruce— no se está aplicando.</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4B434707" w14:paraId="7DEDD8EF" wp14:textId="77777777">
        <w:tc>
          <w:tcPr>
            <w:tcW w:w="9360" w:type="dxa"/>
            <w:tcBorders>
              <w:top w:val="single" w:color="D4A017" w:sz="4"/>
              <w:left w:val="single" w:color="D4A017" w:sz="4"/>
              <w:bottom w:val="single" w:color="D4A017" w:sz="4"/>
              <w:right w:val="single" w:color="D4A017" w:sz="4"/>
            </w:tcBorders>
            <w:shd w:val="clear" w:color="auto" w:fill="FFF8E1"/>
            <w:tcMar>
              <w:top w:w="160" w:type="dxa"/>
              <w:left w:w="200" w:type="dxa"/>
              <w:bottom w:w="160" w:type="dxa"/>
              <w:right w:w="200" w:type="dxa"/>
            </w:tcMar>
          </w:tcPr>
          <w:p w:rsidP="50EA1585" w14:paraId="68FF0429" wp14:textId="77777777">
            <w:pPr>
              <w:spacing w:before="0" w:after="100"/>
              <w:jc w:val="both"/>
              <w:rPr>
                <w:rFonts w:ascii="Calibri" w:hAnsi="Calibri" w:eastAsia="Calibri" w:cs="Calibri"/>
                <w:b w:val="1"/>
                <w:bCs w:val="1"/>
                <w:noProof w:val="0"/>
                <w:color w:val="7A5C00"/>
                <w:sz w:val="22"/>
                <w:szCs w:val="22"/>
                <w:lang w:val="es-CO"/>
              </w:rPr>
            </w:pPr>
            <w:r w:rsidRPr="50EA1585" w:rsidR="50EA1585">
              <w:rPr>
                <w:rFonts w:ascii="Calibri" w:hAnsi="Calibri" w:eastAsia="Calibri" w:cs="Calibri"/>
                <w:b w:val="1"/>
                <w:bCs w:val="1"/>
                <w:noProof w:val="0"/>
                <w:color w:val="7A5C00"/>
                <w:sz w:val="22"/>
                <w:szCs w:val="22"/>
                <w:lang w:val="es-CO"/>
              </w:rPr>
              <w:t>▸ DEL ENFOQUE DIFERENCIAL A LA MIRADA INTERSECCIONAL</w:t>
            </w:r>
          </w:p>
          <w:p w:rsidP="50EA1585" w14:paraId="4910EC96" wp14:textId="77777777">
            <w:pPr>
              <w:spacing w:before="0" w:after="10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El enfoque diferencial reconoce que las personas y los actores no participan en igualdad de condiciones, y propone considerar variables como género, edad, pertenencia étnica, territorio y capacidades. Es un punto de partida útil, pero limitado: cuando esas categorías se aplican por separado, suelen tratar a las poblaciones como bloques homogéneos y reproducen las mismas exclusiones que pretenden corregir.</w:t>
            </w:r>
          </w:p>
          <w:p w:rsidP="50EA1585" w14:paraId="60042317" wp14:textId="5664D428">
            <w:pPr>
              <w:spacing w:before="0" w:after="100"/>
              <w:jc w:val="both"/>
              <w:rPr>
                <w:rFonts w:ascii="Calibri" w:hAnsi="Calibri" w:eastAsia="Calibri" w:cs="Calibri"/>
                <w:noProof w:val="0"/>
                <w:sz w:val="22"/>
                <w:szCs w:val="22"/>
                <w:lang w:val="es-CO"/>
              </w:rPr>
            </w:pPr>
            <w:r w:rsidRPr="1705A233" w:rsidR="50EA1585">
              <w:rPr>
                <w:rFonts w:ascii="Calibri" w:hAnsi="Calibri" w:eastAsia="Calibri" w:cs="Calibri"/>
                <w:noProof w:val="0"/>
                <w:sz w:val="22"/>
                <w:szCs w:val="22"/>
                <w:lang w:val="es-CO"/>
              </w:rPr>
              <w:t>La interseccionalidad propone otro paso. Reconoce que las desigualdades no operan aisladas sino entrecruzadas: una persona puede ser, a la vez, mujer, indígena, joven, rural y con discapacidad. En procesos de gobernanza ambiental, donde los conflictos socioambientales suelen recaer sobre quienes viven precisamente esos cruces (mujeres rurales, comunidades étnicas en territorios extractivos, pequeños productores en zonas periféricas), pensar en categorías separadas deja por fuera lo más importante.</w:t>
            </w:r>
          </w:p>
          <w:p w:rsidP="50EA1585" w14:paraId="05CB0D7F" wp14:textId="77777777">
            <w:pPr>
              <w:spacing w:before="0" w:after="0"/>
              <w:jc w:val="both"/>
              <w:rPr>
                <w:rFonts w:ascii="Calibri" w:hAnsi="Calibri" w:eastAsia="Calibri" w:cs="Calibri"/>
                <w:i w:val="1"/>
                <w:iCs w:val="1"/>
                <w:noProof w:val="0"/>
                <w:sz w:val="22"/>
                <w:szCs w:val="22"/>
                <w:lang w:val="es-CO"/>
              </w:rPr>
            </w:pPr>
            <w:r w:rsidRPr="50EA1585" w:rsidR="50EA1585">
              <w:rPr>
                <w:rFonts w:ascii="Calibri" w:hAnsi="Calibri" w:eastAsia="Calibri" w:cs="Calibri"/>
                <w:i w:val="1"/>
                <w:iCs w:val="1"/>
                <w:noProof w:val="0"/>
                <w:sz w:val="22"/>
                <w:szCs w:val="22"/>
                <w:lang w:val="es-CO"/>
              </w:rPr>
              <w:t>Las cuatro lentes que siguen son un punto de entrada. La pregunta interseccional —y la pregunta sobre incidencia— son el verdadero trabajo del insumo.</w:t>
            </w:r>
          </w:p>
        </w:tc>
      </w:tr>
    </w:tbl>
    <w:p w:rsidR="4B434707" w:rsidP="4B434707" w:rsidRDefault="4B434707" w14:paraId="50293452" w14:textId="2DECD86E">
      <w:pPr>
        <w:spacing w:before="320" w:after="140"/>
        <w:jc w:val="both"/>
        <w:rPr>
          <w:rFonts w:ascii="Calibri" w:hAnsi="Calibri" w:eastAsia="Calibri" w:cs="Calibri"/>
          <w:b w:val="1"/>
          <w:bCs w:val="1"/>
          <w:noProof w:val="0"/>
          <w:color w:val="2E5266"/>
          <w:sz w:val="22"/>
          <w:szCs w:val="22"/>
          <w:lang w:val="es-CO"/>
        </w:rPr>
      </w:pPr>
    </w:p>
    <w:p w:rsidR="4B434707" w:rsidP="4B434707" w:rsidRDefault="4B434707" w14:paraId="0E092F55" w14:textId="1C05F4F2">
      <w:pPr>
        <w:spacing w:before="320" w:after="140"/>
        <w:jc w:val="both"/>
        <w:rPr>
          <w:rFonts w:ascii="Calibri" w:hAnsi="Calibri" w:eastAsia="Calibri" w:cs="Calibri"/>
          <w:b w:val="1"/>
          <w:bCs w:val="1"/>
          <w:noProof w:val="0"/>
          <w:color w:val="2E5266"/>
          <w:sz w:val="22"/>
          <w:szCs w:val="22"/>
          <w:lang w:val="es-CO"/>
        </w:rPr>
      </w:pPr>
    </w:p>
    <w:p w:rsidR="4B434707" w:rsidP="4B434707" w:rsidRDefault="4B434707" w14:paraId="4A3A1966" w14:textId="5A937C9A">
      <w:pPr>
        <w:spacing w:before="320" w:after="140"/>
        <w:jc w:val="both"/>
        <w:rPr>
          <w:rFonts w:ascii="Calibri" w:hAnsi="Calibri" w:eastAsia="Calibri" w:cs="Calibri"/>
          <w:b w:val="1"/>
          <w:bCs w:val="1"/>
          <w:noProof w:val="0"/>
          <w:color w:val="2E5266"/>
          <w:sz w:val="22"/>
          <w:szCs w:val="22"/>
          <w:lang w:val="es-CO"/>
        </w:rPr>
      </w:pPr>
    </w:p>
    <w:p w:rsidR="4B434707" w:rsidP="4B434707" w:rsidRDefault="4B434707" w14:paraId="2E6A1F43" w14:textId="381062BE">
      <w:pPr>
        <w:spacing w:before="320" w:after="140"/>
        <w:jc w:val="both"/>
        <w:rPr>
          <w:rFonts w:ascii="Calibri" w:hAnsi="Calibri" w:eastAsia="Calibri" w:cs="Calibri"/>
          <w:b w:val="1"/>
          <w:bCs w:val="1"/>
          <w:noProof w:val="0"/>
          <w:color w:val="2E5266"/>
          <w:sz w:val="22"/>
          <w:szCs w:val="22"/>
          <w:lang w:val="es-CO"/>
        </w:rPr>
      </w:pPr>
    </w:p>
    <w:p xmlns:wp14="http://schemas.microsoft.com/office/word/2010/wordml" w:rsidP="50EA1585" w14:paraId="6829389B" wp14:textId="77777777">
      <w:pPr>
        <w:spacing w:before="320" w:after="140"/>
        <w:jc w:val="both"/>
        <w:rPr>
          <w:rFonts w:ascii="Calibri" w:hAnsi="Calibri" w:eastAsia="Calibri" w:cs="Calibri"/>
          <w:b w:val="1"/>
          <w:bCs w:val="1"/>
          <w:noProof w:val="0"/>
          <w:color w:val="2E5266"/>
          <w:sz w:val="22"/>
          <w:szCs w:val="22"/>
          <w:lang w:val="es-CO"/>
        </w:rPr>
      </w:pPr>
      <w:r w:rsidRPr="50EA1585" w:rsidR="50EA1585">
        <w:rPr>
          <w:rFonts w:ascii="Calibri" w:hAnsi="Calibri" w:eastAsia="Calibri" w:cs="Calibri"/>
          <w:b w:val="1"/>
          <w:bCs w:val="1"/>
          <w:noProof w:val="0"/>
          <w:color w:val="2E5266"/>
          <w:sz w:val="22"/>
          <w:szCs w:val="22"/>
          <w:lang w:val="es-CO"/>
        </w:rPr>
        <w:t>2. Cuatro lentes que se cruzan</w:t>
      </w:r>
    </w:p>
    <w:p xmlns:wp14="http://schemas.microsoft.com/office/word/2010/wordml" w:rsidP="50EA1585" w14:paraId="68F1F17F" wp14:textId="77777777">
      <w:pPr>
        <w:spacing w:before="0" w:after="160"/>
        <w:jc w:val="both"/>
        <w:rPr>
          <w:rFonts w:ascii="Calibri" w:hAnsi="Calibri" w:eastAsia="Calibri" w:cs="Calibri"/>
          <w:b w:val="0"/>
          <w:bCs w:val="0"/>
          <w:i w:val="0"/>
          <w:iCs w:val="0"/>
          <w:noProof w:val="0"/>
          <w:color w:val="000000"/>
          <w:sz w:val="22"/>
          <w:szCs w:val="22"/>
          <w:lang w:val="es-CO"/>
        </w:rPr>
      </w:pPr>
      <w:r w:rsidRPr="50EA1585" w:rsidR="50EA1585">
        <w:rPr>
          <w:rFonts w:ascii="Calibri" w:hAnsi="Calibri" w:eastAsia="Calibri" w:cs="Calibri"/>
          <w:b w:val="0"/>
          <w:bCs w:val="0"/>
          <w:i w:val="0"/>
          <w:iCs w:val="0"/>
          <w:noProof w:val="0"/>
          <w:color w:val="000000"/>
          <w:sz w:val="22"/>
          <w:szCs w:val="22"/>
          <w:lang w:val="es-CO"/>
        </w:rPr>
        <w:t>Apliquen cada lente sobre su convocatoria y respondan honestamente. Cada lente cierra con un recordatorio: aplicarla por separado es solo el primer paso. El verdadero trabajo está en la sección 3, donde las lentes se cruzan.</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4B434707" w14:paraId="6E54DADB" wp14:textId="77777777">
        <w:tc>
          <w:tcPr>
            <w:tcW w:w="9360" w:type="dxa"/>
            <w:tcBorders>
              <w:top w:val="single" w:color="E0E8EE" w:sz="4"/>
              <w:left w:val="single" w:color="E0E8EE" w:sz="4"/>
              <w:bottom w:val="single" w:color="2E5266" w:sz="12"/>
              <w:right w:val="single" w:color="E0E8EE" w:sz="4"/>
            </w:tcBorders>
            <w:shd w:val="clear" w:color="auto" w:fill="EAF2F8"/>
            <w:tcMar>
              <w:top w:w="140" w:type="dxa"/>
              <w:left w:w="200" w:type="dxa"/>
              <w:bottom w:w="140" w:type="dxa"/>
              <w:right w:w="200" w:type="dxa"/>
            </w:tcMar>
          </w:tcPr>
          <w:p w:rsidP="50EA1585" w14:paraId="29388BBD" wp14:textId="7F42C060">
            <w:pPr>
              <w:spacing w:before="0" w:after="60"/>
              <w:jc w:val="both"/>
              <w:rPr>
                <w:rFonts w:ascii="Calibri" w:hAnsi="Calibri" w:eastAsia="Calibri" w:cs="Calibri"/>
                <w:b w:val="1"/>
                <w:bCs w:val="1"/>
                <w:noProof w:val="0"/>
                <w:color w:val="000000"/>
                <w:sz w:val="22"/>
                <w:szCs w:val="22"/>
                <w:lang w:val="es-CO"/>
              </w:rPr>
            </w:pPr>
            <w:r w:rsidRPr="50EA1585" w:rsidR="50EA1585">
              <w:rPr>
                <w:rFonts w:ascii="Calibri" w:hAnsi="Calibri" w:eastAsia="Calibri" w:cs="Calibri"/>
                <w:b w:val="1"/>
                <w:bCs w:val="1"/>
                <w:noProof w:val="0"/>
                <w:color w:val="2E5266"/>
                <w:sz w:val="22"/>
                <w:szCs w:val="22"/>
                <w:lang w:val="es-CO"/>
              </w:rPr>
              <w:t>▸ LENTE</w:t>
            </w:r>
            <w:r w:rsidRPr="50EA1585" w:rsidR="50EA1585">
              <w:rPr>
                <w:rFonts w:ascii="Calibri" w:hAnsi="Calibri" w:eastAsia="Calibri" w:cs="Calibri"/>
                <w:b w:val="1"/>
                <w:bCs w:val="1"/>
                <w:noProof w:val="0"/>
                <w:color w:val="2E5266"/>
                <w:sz w:val="22"/>
                <w:szCs w:val="22"/>
                <w:lang w:val="es-CO"/>
              </w:rPr>
              <w:t xml:space="preserve">  </w:t>
            </w:r>
            <w:r w:rsidRPr="50EA1585" w:rsidR="50EA1585">
              <w:rPr>
                <w:rFonts w:ascii="Calibri" w:hAnsi="Calibri" w:eastAsia="Calibri" w:cs="Calibri"/>
                <w:b w:val="1"/>
                <w:bCs w:val="1"/>
                <w:noProof w:val="0"/>
                <w:color w:val="000000"/>
                <w:sz w:val="22"/>
                <w:szCs w:val="22"/>
                <w:lang w:val="es-CO"/>
              </w:rPr>
              <w:t>DE GÉNERO</w:t>
            </w:r>
          </w:p>
          <w:p w:rsidP="50EA1585" w14:paraId="59530AE9" wp14:textId="77777777">
            <w:pPr>
              <w:spacing w:before="0" w:after="0"/>
              <w:jc w:val="both"/>
              <w:rPr>
                <w:rFonts w:ascii="Calibri" w:hAnsi="Calibri" w:eastAsia="Calibri" w:cs="Calibri"/>
                <w:i w:val="1"/>
                <w:iCs w:val="1"/>
                <w:noProof w:val="0"/>
                <w:color w:val="555555"/>
                <w:sz w:val="22"/>
                <w:szCs w:val="22"/>
                <w:lang w:val="es-CO"/>
              </w:rPr>
            </w:pPr>
            <w:r w:rsidRPr="50EA1585" w:rsidR="50EA1585">
              <w:rPr>
                <w:rFonts w:ascii="Calibri" w:hAnsi="Calibri" w:eastAsia="Calibri" w:cs="Calibri"/>
                <w:i w:val="1"/>
                <w:iCs w:val="1"/>
                <w:noProof w:val="0"/>
                <w:color w:val="555555"/>
                <w:sz w:val="22"/>
                <w:szCs w:val="22"/>
                <w:lang w:val="es-CO"/>
              </w:rPr>
              <w:t>Las brechas de género operan en el tiempo, el lugar, el lenguaje y la voz. En lo ambiental, también operan en la relación con el territorio: quién carga el agua, quién recolecta, quién cuida los huertos, quién es desplazada cuando un proyecto extractivo llega.</w:t>
            </w:r>
          </w:p>
        </w:tc>
      </w:tr>
      <w:tr xmlns:wp14="http://schemas.microsoft.com/office/word/2010/wordml" w:rsidTr="4B434707" w14:paraId="569BA7CD" wp14:textId="77777777">
        <w:tc>
          <w:tcPr>
            <w:tcW w:w="9360" w:type="dxa"/>
            <w:tcBorders>
              <w:top w:val="single" w:color="E0E8EE" w:sz="4"/>
              <w:left w:val="single" w:color="E0E8EE" w:sz="4"/>
              <w:bottom w:val="single" w:color="E0E8EE" w:sz="4"/>
              <w:right w:val="single" w:color="E0E8EE" w:sz="4"/>
            </w:tcBorders>
            <w:tcMar>
              <w:top w:w="140" w:type="dxa"/>
              <w:left w:w="200" w:type="dxa"/>
              <w:bottom w:w="100" w:type="dxa"/>
              <w:right w:w="200" w:type="dxa"/>
            </w:tcMar>
          </w:tcPr>
          <w:p w:rsidP="50EA1585" w14:paraId="5AFCCB43"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 convocatoria reconoce la diversidad de identidades de género presentes en el territorio, o asume un liderazgo masculino del sector? (¿Buscan a las personas en cargos de presidencia o dirección, sin preguntar si hay lideresas o personas con liderazgos no formales?)</w:t>
            </w:r>
          </w:p>
          <w:p w:rsidP="50EA1585" w14:paraId="5E752764"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¿El horario y el lugar consideran las cargas de cuidado, que recaen mayoritariamente en mujeres? ¿Hay personas que cuidan en casa mientras otras asisten a los espacios de decisión sobre su territorio?</w:t>
            </w:r>
          </w:p>
          <w:p w:rsidP="50EA1585" w14:paraId="4607B5D5"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 convocatoria se hace de manera segura para todas las personas? ¿Considera transporte, horario nocturno, zonas con riesgo de violencia —incluida la violencia que enfrentan lideresas ambientales en muchos territorios?</w:t>
            </w:r>
          </w:p>
          <w:p w:rsidP="50EA1585" w14:paraId="3ED3EEA4"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En los espacios mismos: ¿quién interrumpe a quién? ¿Las personas tienen el mismo tiempo de intervención y son escuchadas con el mismo peso, sin distinción de género?</w:t>
            </w:r>
          </w:p>
          <w:p w:rsidP="50EA1585" w14:paraId="60F6C69F"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¿Las temáticas ambientales reconocen experiencias diferenciales por género? Por ejemplo: el agua y las cargas de recolección o cuidado, la salud reproductiva en territorios contaminados, la seguridad alimentaria, el uso del suelo, la tenencia de la tierra, la exposición diferencial a riesgos climáticos.</w:t>
            </w:r>
          </w:p>
          <w:p w:rsidP="4B434707" w14:paraId="6A5A1F6E" wp14:textId="275067C1">
            <w:pPr>
              <w:spacing w:before="140" w:after="0"/>
              <w:jc w:val="both"/>
              <w:rPr>
                <w:rFonts w:ascii="Calibri" w:hAnsi="Calibri" w:eastAsia="Calibri" w:cs="Calibri"/>
                <w:i w:val="1"/>
                <w:iCs w:val="1"/>
                <w:noProof w:val="0"/>
                <w:color w:val="555555"/>
                <w:sz w:val="22"/>
                <w:szCs w:val="22"/>
                <w:lang w:val="es-CO"/>
              </w:rPr>
            </w:pPr>
            <w:r w:rsidRPr="4B434707" w:rsidR="6C97CCBC">
              <w:rPr>
                <w:rFonts w:ascii="Calibri" w:hAnsi="Calibri" w:eastAsia="Calibri" w:cs="Calibri"/>
                <w:noProof w:val="0"/>
                <w:color w:val="2E5266"/>
                <w:sz w:val="22"/>
                <w:szCs w:val="22"/>
                <w:lang w:val="es-CO"/>
              </w:rPr>
              <w:t>↻ Aplicar</w:t>
            </w:r>
            <w:r w:rsidRPr="4B434707" w:rsidR="50EA1585">
              <w:rPr>
                <w:rFonts w:ascii="Calibri" w:hAnsi="Calibri" w:eastAsia="Calibri" w:cs="Calibri"/>
                <w:i w:val="1"/>
                <w:iCs w:val="1"/>
                <w:noProof w:val="0"/>
                <w:color w:val="555555"/>
                <w:sz w:val="22"/>
                <w:szCs w:val="22"/>
                <w:lang w:val="es-CO"/>
              </w:rPr>
              <w:t xml:space="preserve"> esta lente sin cruzarla con territorio, etnia, edad y capacidades dejará por fuera, por ejemplo, a las lideresas indígenas que defienden el agua, a las cuidadoras rurales mayores o a las jóvenes activistas climáticas con discapacidad. La pregunta interseccional (sección 3) es indispensable.</w:t>
            </w:r>
          </w:p>
        </w:tc>
      </w:tr>
    </w:tbl>
    <w:p xmlns:wp14="http://schemas.microsoft.com/office/word/2010/wordml" w:rsidP="50EA1585" w14:paraId="672A6659" wp14:textId="77777777">
      <w:pPr>
        <w:spacing w:before="200" w:after="0"/>
        <w:jc w:val="both"/>
        <w:rPr>
          <w:rFonts w:ascii="Calibri" w:hAnsi="Calibri" w:eastAsia="Calibri" w:cs="Calibri"/>
          <w:noProof w:val="0"/>
          <w:sz w:val="22"/>
          <w:szCs w:val="22"/>
          <w:lang w:val="es-CO"/>
        </w:rPr>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76008D72" w14:paraId="09903ED1" wp14:textId="77777777">
        <w:tc>
          <w:tcPr>
            <w:tcW w:w="9360" w:type="dxa"/>
            <w:tcBorders>
              <w:top w:val="single" w:color="E0E8EE" w:sz="4"/>
              <w:left w:val="single" w:color="E0E8EE" w:sz="4"/>
              <w:bottom w:val="single" w:color="2E5266" w:sz="12"/>
              <w:right w:val="single" w:color="E0E8EE" w:sz="4"/>
            </w:tcBorders>
            <w:shd w:val="clear" w:color="auto" w:fill="EAF2F8"/>
            <w:tcMar>
              <w:top w:w="140" w:type="dxa"/>
              <w:left w:w="200" w:type="dxa"/>
              <w:bottom w:w="140" w:type="dxa"/>
              <w:right w:w="200" w:type="dxa"/>
            </w:tcMar>
          </w:tcPr>
          <w:p w:rsidP="50EA1585" w14:paraId="18C4A3A7" wp14:textId="1B450E76">
            <w:pPr>
              <w:spacing w:before="0" w:after="60"/>
              <w:jc w:val="both"/>
              <w:rPr>
                <w:rFonts w:ascii="Calibri" w:hAnsi="Calibri" w:eastAsia="Calibri" w:cs="Calibri"/>
                <w:b w:val="1"/>
                <w:bCs w:val="1"/>
                <w:noProof w:val="0"/>
                <w:color w:val="000000"/>
                <w:sz w:val="22"/>
                <w:szCs w:val="22"/>
                <w:lang w:val="es-CO"/>
              </w:rPr>
            </w:pPr>
            <w:r w:rsidRPr="50EA1585" w:rsidR="50EA1585">
              <w:rPr>
                <w:rFonts w:ascii="Calibri" w:hAnsi="Calibri" w:eastAsia="Calibri" w:cs="Calibri"/>
                <w:b w:val="1"/>
                <w:bCs w:val="1"/>
                <w:noProof w:val="0"/>
                <w:color w:val="2E5266"/>
                <w:sz w:val="22"/>
                <w:szCs w:val="22"/>
                <w:lang w:val="es-CO"/>
              </w:rPr>
              <w:t>▸LENTE ETARIO</w:t>
            </w:r>
          </w:p>
          <w:p w:rsidP="50EA1585" w14:paraId="275A5F8C" wp14:textId="77777777">
            <w:pPr>
              <w:spacing w:before="0" w:after="0"/>
              <w:jc w:val="both"/>
              <w:rPr>
                <w:rFonts w:ascii="Calibri" w:hAnsi="Calibri" w:eastAsia="Calibri" w:cs="Calibri"/>
                <w:i w:val="1"/>
                <w:iCs w:val="1"/>
                <w:noProof w:val="0"/>
                <w:color w:val="555555"/>
                <w:sz w:val="22"/>
                <w:szCs w:val="22"/>
                <w:lang w:val="es-CO"/>
              </w:rPr>
            </w:pPr>
            <w:r w:rsidRPr="50EA1585" w:rsidR="50EA1585">
              <w:rPr>
                <w:rFonts w:ascii="Calibri" w:hAnsi="Calibri" w:eastAsia="Calibri" w:cs="Calibri"/>
                <w:i w:val="1"/>
                <w:iCs w:val="1"/>
                <w:noProof w:val="0"/>
                <w:color w:val="555555"/>
                <w:sz w:val="22"/>
                <w:szCs w:val="22"/>
                <w:lang w:val="es-CO"/>
              </w:rPr>
              <w:t>Personas jóvenes y mayores tienen relaciones distintas con el territorio. Los movimientos climáticos juveniles y la memoria ambiental de personas mayores son piezas clave que una convocatoria sin lente etaria suele ignorar.</w:t>
            </w:r>
          </w:p>
        </w:tc>
      </w:tr>
      <w:tr xmlns:wp14="http://schemas.microsoft.com/office/word/2010/wordml" w:rsidTr="76008D72" w14:paraId="14129102" wp14:textId="77777777">
        <w:tc>
          <w:tcPr>
            <w:tcW w:w="9360" w:type="dxa"/>
            <w:tcBorders>
              <w:top w:val="single" w:color="E0E8EE" w:sz="4"/>
              <w:left w:val="single" w:color="E0E8EE" w:sz="4"/>
              <w:bottom w:val="single" w:color="E0E8EE" w:sz="4"/>
              <w:right w:val="single" w:color="E0E8EE" w:sz="4"/>
            </w:tcBorders>
            <w:tcMar>
              <w:top w:w="140" w:type="dxa"/>
              <w:left w:w="200" w:type="dxa"/>
              <w:bottom w:w="100" w:type="dxa"/>
              <w:right w:w="200" w:type="dxa"/>
            </w:tcMar>
          </w:tcPr>
          <w:p w:rsidP="50EA1585" w14:paraId="6C898D0B"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 convocatoria llega a personas jóvenes a través de canales propios —movimientos climáticos juveniles, organizaciones territoriales de base, redes sociales, colectivos de defensa del territorio— o solo por circuitos institucionales tradicionales?</w:t>
            </w:r>
          </w:p>
          <w:p w:rsidP="50EA1585" w14:paraId="2733511D" wp14:textId="458A250A">
            <w:pPr>
              <w:pStyle w:val="ListParagraph"/>
              <w:numPr>
                <w:ilvl w:val="0"/>
                <w:numId w:val="2"/>
              </w:numPr>
              <w:spacing w:before="0" w:after="80"/>
              <w:jc w:val="both"/>
              <w:rPr>
                <w:rFonts w:ascii="Calibri" w:hAnsi="Calibri" w:eastAsia="Calibri" w:cs="Calibri"/>
                <w:noProof w:val="0"/>
                <w:sz w:val="22"/>
                <w:szCs w:val="22"/>
                <w:lang w:val="es-CO"/>
              </w:rPr>
            </w:pPr>
            <w:r w:rsidRPr="76008D72" w:rsidR="40C4D28E">
              <w:rPr>
                <w:rFonts w:ascii="Calibri" w:hAnsi="Calibri" w:eastAsia="Calibri" w:cs="Calibri"/>
                <w:noProof w:val="0"/>
                <w:sz w:val="22"/>
                <w:szCs w:val="22"/>
                <w:lang w:val="es-CO"/>
              </w:rPr>
              <w:t xml:space="preserve">¿Las personas </w:t>
            </w:r>
            <w:r w:rsidRPr="76008D72" w:rsidR="40C4D28E">
              <w:rPr>
                <w:rFonts w:ascii="Calibri" w:hAnsi="Calibri" w:eastAsia="Calibri" w:cs="Calibri"/>
                <w:noProof w:val="0"/>
                <w:sz w:val="22"/>
                <w:szCs w:val="22"/>
                <w:lang w:val="es-CO"/>
              </w:rPr>
              <w:t>mayores, depositarias de saberes tradicionales sobre el territorio (uso del suelo, ciclos del agua, especies, prácticas de manejo), tienen acceso a la modalidad y al lugar elegidos?</w:t>
            </w:r>
          </w:p>
          <w:p w:rsidP="50EA1585" w14:paraId="79106EB2"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¿El lenguaje y la duración del espacio funcionan para distintas generaciones?</w:t>
            </w:r>
          </w:p>
          <w:p w:rsidP="50EA1585" w14:paraId="12CDDD96"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¿Hay reconocimiento explícito del saber ambiental acumulado de personas mayores y de la mirada prospectiva intergeneracional de las personas jóvenes —que serán quienes vivan los efectos de las decisiones tomadas hoy?</w:t>
            </w:r>
          </w:p>
          <w:p w:rsidP="50EA1585" w14:paraId="322D6FF6" wp14:textId="5B41F6E6">
            <w:pPr>
              <w:spacing w:before="140" w:after="0"/>
              <w:jc w:val="both"/>
              <w:rPr>
                <w:rFonts w:ascii="Calibri" w:hAnsi="Calibri" w:eastAsia="Calibri" w:cs="Calibri"/>
                <w:i w:val="1"/>
                <w:iCs w:val="1"/>
                <w:noProof w:val="0"/>
                <w:color w:val="555555"/>
                <w:sz w:val="22"/>
                <w:szCs w:val="22"/>
                <w:lang w:val="es-CO"/>
              </w:rPr>
            </w:pPr>
            <w:r w:rsidRPr="50EA1585" w:rsidR="50EA1585">
              <w:rPr>
                <w:rFonts w:ascii="Calibri" w:hAnsi="Calibri" w:eastAsia="Calibri" w:cs="Calibri"/>
                <w:noProof w:val="0"/>
                <w:color w:val="2E5266"/>
                <w:sz w:val="22"/>
                <w:szCs w:val="22"/>
                <w:lang w:val="es-CO"/>
              </w:rPr>
              <w:t xml:space="preserve">↻ </w:t>
            </w:r>
            <w:r w:rsidRPr="50EA1585" w:rsidR="50EA1585">
              <w:rPr>
                <w:rFonts w:ascii="Calibri" w:hAnsi="Calibri" w:eastAsia="Calibri" w:cs="Calibri"/>
                <w:i w:val="1"/>
                <w:iCs w:val="1"/>
                <w:noProof w:val="0"/>
                <w:color w:val="555555"/>
                <w:sz w:val="22"/>
                <w:szCs w:val="22"/>
                <w:lang w:val="es-CO"/>
              </w:rPr>
              <w:t>Las</w:t>
            </w:r>
            <w:r w:rsidRPr="50EA1585" w:rsidR="50EA1585">
              <w:rPr>
                <w:rFonts w:ascii="Calibri" w:hAnsi="Calibri" w:eastAsia="Calibri" w:cs="Calibri"/>
                <w:i w:val="1"/>
                <w:iCs w:val="1"/>
                <w:noProof w:val="0"/>
                <w:color w:val="555555"/>
                <w:sz w:val="22"/>
                <w:szCs w:val="22"/>
                <w:lang w:val="es-CO"/>
              </w:rPr>
              <w:t xml:space="preserve"> personas </w:t>
            </w:r>
            <w:r w:rsidRPr="50EA1585" w:rsidR="50EA1585">
              <w:rPr>
                <w:rFonts w:ascii="Calibri" w:hAnsi="Calibri" w:eastAsia="Calibri" w:cs="Calibri"/>
                <w:i w:val="1"/>
                <w:iCs w:val="1"/>
                <w:noProof w:val="0"/>
                <w:color w:val="555555"/>
                <w:sz w:val="22"/>
                <w:szCs w:val="22"/>
                <w:lang w:val="es-CO"/>
              </w:rPr>
              <w:t>jóvenes</w:t>
            </w:r>
            <w:r w:rsidRPr="50EA1585" w:rsidR="50EA1585">
              <w:rPr>
                <w:rFonts w:ascii="Calibri" w:hAnsi="Calibri" w:eastAsia="Calibri" w:cs="Calibri"/>
                <w:i w:val="1"/>
                <w:iCs w:val="1"/>
                <w:noProof w:val="0"/>
                <w:color w:val="555555"/>
                <w:sz w:val="22"/>
                <w:szCs w:val="22"/>
                <w:lang w:val="es-CO"/>
              </w:rPr>
              <w:t xml:space="preserve"> rurales, las personas </w:t>
            </w:r>
            <w:r w:rsidRPr="50EA1585" w:rsidR="50EA1585">
              <w:rPr>
                <w:rFonts w:ascii="Calibri" w:hAnsi="Calibri" w:eastAsia="Calibri" w:cs="Calibri"/>
                <w:i w:val="1"/>
                <w:iCs w:val="1"/>
                <w:noProof w:val="0"/>
                <w:color w:val="555555"/>
                <w:sz w:val="22"/>
                <w:szCs w:val="22"/>
                <w:lang w:val="es-CO"/>
              </w:rPr>
              <w:t>mayores</w:t>
            </w:r>
            <w:r w:rsidRPr="50EA1585" w:rsidR="50EA1585">
              <w:rPr>
                <w:rFonts w:ascii="Calibri" w:hAnsi="Calibri" w:eastAsia="Calibri" w:cs="Calibri"/>
                <w:i w:val="1"/>
                <w:iCs w:val="1"/>
                <w:noProof w:val="0"/>
                <w:color w:val="555555"/>
                <w:sz w:val="22"/>
                <w:szCs w:val="22"/>
                <w:lang w:val="es-CO"/>
              </w:rPr>
              <w:t xml:space="preserve"> con </w:t>
            </w:r>
            <w:r w:rsidRPr="50EA1585" w:rsidR="50EA1585">
              <w:rPr>
                <w:rFonts w:ascii="Calibri" w:hAnsi="Calibri" w:eastAsia="Calibri" w:cs="Calibri"/>
                <w:i w:val="1"/>
                <w:iCs w:val="1"/>
                <w:noProof w:val="0"/>
                <w:color w:val="555555"/>
                <w:sz w:val="22"/>
                <w:szCs w:val="22"/>
                <w:lang w:val="es-CO"/>
              </w:rPr>
              <w:t>discapacidad</w:t>
            </w:r>
            <w:r w:rsidRPr="50EA1585" w:rsidR="50EA1585">
              <w:rPr>
                <w:rFonts w:ascii="Calibri" w:hAnsi="Calibri" w:eastAsia="Calibri" w:cs="Calibri"/>
                <w:i w:val="1"/>
                <w:iCs w:val="1"/>
                <w:noProof w:val="0"/>
                <w:color w:val="555555"/>
                <w:sz w:val="22"/>
                <w:szCs w:val="22"/>
                <w:lang w:val="es-CO"/>
              </w:rPr>
              <w:t xml:space="preserve"> o las </w:t>
            </w:r>
            <w:r w:rsidRPr="50EA1585" w:rsidR="50EA1585">
              <w:rPr>
                <w:rFonts w:ascii="Calibri" w:hAnsi="Calibri" w:eastAsia="Calibri" w:cs="Calibri"/>
                <w:i w:val="1"/>
                <w:iCs w:val="1"/>
                <w:noProof w:val="0"/>
                <w:color w:val="555555"/>
                <w:sz w:val="22"/>
                <w:szCs w:val="22"/>
                <w:lang w:val="es-CO"/>
              </w:rPr>
              <w:t>cuidadoras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intergeneracionales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viven</w:t>
            </w:r>
            <w:r w:rsidRPr="50EA1585" w:rsidR="50EA1585">
              <w:rPr>
                <w:rFonts w:ascii="Calibri" w:hAnsi="Calibri" w:eastAsia="Calibri" w:cs="Calibri"/>
                <w:i w:val="1"/>
                <w:iCs w:val="1"/>
                <w:noProof w:val="0"/>
                <w:color w:val="555555"/>
                <w:sz w:val="22"/>
                <w:szCs w:val="22"/>
                <w:lang w:val="es-CO"/>
              </w:rPr>
              <w:t xml:space="preserve"> cruces </w:t>
            </w:r>
            <w:r w:rsidRPr="50EA1585" w:rsidR="50EA1585">
              <w:rPr>
                <w:rFonts w:ascii="Calibri" w:hAnsi="Calibri" w:eastAsia="Calibri" w:cs="Calibri"/>
                <w:i w:val="1"/>
                <w:iCs w:val="1"/>
                <w:noProof w:val="0"/>
                <w:color w:val="555555"/>
                <w:sz w:val="22"/>
                <w:szCs w:val="22"/>
                <w:lang w:val="es-CO"/>
              </w:rPr>
              <w:t>que</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esta</w:t>
            </w:r>
            <w:r w:rsidRPr="50EA1585" w:rsidR="50EA1585">
              <w:rPr>
                <w:rFonts w:ascii="Calibri" w:hAnsi="Calibri" w:eastAsia="Calibri" w:cs="Calibri"/>
                <w:i w:val="1"/>
                <w:iCs w:val="1"/>
                <w:noProof w:val="0"/>
                <w:color w:val="555555"/>
                <w:sz w:val="22"/>
                <w:szCs w:val="22"/>
                <w:lang w:val="es-CO"/>
              </w:rPr>
              <w:t xml:space="preserve"> lente sola no </w:t>
            </w:r>
            <w:r w:rsidRPr="50EA1585" w:rsidR="50EA1585">
              <w:rPr>
                <w:rFonts w:ascii="Calibri" w:hAnsi="Calibri" w:eastAsia="Calibri" w:cs="Calibri"/>
                <w:i w:val="1"/>
                <w:iCs w:val="1"/>
                <w:noProof w:val="0"/>
                <w:color w:val="555555"/>
                <w:sz w:val="22"/>
                <w:szCs w:val="22"/>
                <w:lang w:val="es-CO"/>
              </w:rPr>
              <w:t>captura</w:t>
            </w:r>
            <w:r w:rsidRPr="50EA1585" w:rsidR="50EA1585">
              <w:rPr>
                <w:rFonts w:ascii="Calibri" w:hAnsi="Calibri" w:eastAsia="Calibri" w:cs="Calibri"/>
                <w:i w:val="1"/>
                <w:iCs w:val="1"/>
                <w:noProof w:val="0"/>
                <w:color w:val="555555"/>
                <w:sz w:val="22"/>
                <w:szCs w:val="22"/>
                <w:lang w:val="es-CO"/>
              </w:rPr>
              <w:t>.</w:t>
            </w:r>
          </w:p>
        </w:tc>
      </w:tr>
    </w:tbl>
    <w:p xmlns:wp14="http://schemas.microsoft.com/office/word/2010/wordml" w:rsidP="50EA1585" w14:paraId="0A37501D" wp14:textId="77777777">
      <w:pPr>
        <w:spacing w:before="200" w:after="0"/>
        <w:jc w:val="both"/>
        <w:rPr>
          <w:rFonts w:ascii="Calibri" w:hAnsi="Calibri" w:eastAsia="Calibri" w:cs="Calibri"/>
          <w:noProof w:val="0"/>
          <w:sz w:val="22"/>
          <w:szCs w:val="22"/>
          <w:lang w:val="es-CO"/>
        </w:rPr>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50EA1585" w14:paraId="25439923" wp14:textId="77777777">
        <w:tc>
          <w:tcPr>
            <w:tcW w:w="9360" w:type="dxa"/>
            <w:tcBorders>
              <w:top w:val="single" w:color="E0E8EE" w:sz="4"/>
              <w:left w:val="single" w:color="E0E8EE" w:sz="4"/>
              <w:bottom w:val="single" w:color="2E5266" w:sz="12"/>
              <w:right w:val="single" w:color="E0E8EE" w:sz="4"/>
            </w:tcBorders>
            <w:shd w:val="clear" w:color="auto" w:fill="EAF2F8"/>
            <w:tcMar>
              <w:top w:w="140" w:type="dxa"/>
              <w:left w:w="200" w:type="dxa"/>
              <w:bottom w:w="140" w:type="dxa"/>
              <w:right w:w="200" w:type="dxa"/>
            </w:tcMar>
          </w:tcPr>
          <w:p w:rsidP="50EA1585" w14:paraId="22C30DDF" wp14:textId="40ABF2C6">
            <w:pPr>
              <w:spacing w:before="0" w:after="60"/>
              <w:jc w:val="both"/>
              <w:rPr>
                <w:rFonts w:ascii="Calibri" w:hAnsi="Calibri" w:eastAsia="Calibri" w:cs="Calibri"/>
                <w:b w:val="1"/>
                <w:bCs w:val="1"/>
                <w:noProof w:val="0"/>
                <w:color w:val="000000"/>
                <w:sz w:val="22"/>
                <w:szCs w:val="22"/>
                <w:lang w:val="es-CO"/>
              </w:rPr>
            </w:pPr>
            <w:r w:rsidRPr="50EA1585" w:rsidR="50EA1585">
              <w:rPr>
                <w:rFonts w:ascii="Calibri" w:hAnsi="Calibri" w:eastAsia="Calibri" w:cs="Calibri"/>
                <w:b w:val="1"/>
                <w:bCs w:val="1"/>
                <w:noProof w:val="0"/>
                <w:color w:val="2E5266"/>
                <w:sz w:val="22"/>
                <w:szCs w:val="22"/>
                <w:lang w:val="es-CO"/>
              </w:rPr>
              <w:t>▸LENTE ÉTNICO</w:t>
            </w:r>
            <w:r w:rsidRPr="50EA1585" w:rsidR="50EA1585">
              <w:rPr>
                <w:rFonts w:ascii="Calibri" w:hAnsi="Calibri" w:eastAsia="Calibri" w:cs="Calibri"/>
                <w:b w:val="1"/>
                <w:bCs w:val="1"/>
                <w:noProof w:val="0"/>
                <w:color w:val="000000"/>
                <w:sz w:val="22"/>
                <w:szCs w:val="22"/>
                <w:lang w:val="es-CO"/>
              </w:rPr>
              <w:t xml:space="preserve"> Y TERRITORIAL</w:t>
            </w:r>
          </w:p>
          <w:p w:rsidP="50EA1585" w14:paraId="1C370D60" wp14:textId="77777777">
            <w:pPr>
              <w:spacing w:before="0" w:after="0"/>
              <w:jc w:val="both"/>
              <w:rPr>
                <w:rFonts w:ascii="Calibri" w:hAnsi="Calibri" w:eastAsia="Calibri" w:cs="Calibri"/>
                <w:i w:val="1"/>
                <w:iCs w:val="1"/>
                <w:noProof w:val="0"/>
                <w:color w:val="555555"/>
                <w:sz w:val="22"/>
                <w:szCs w:val="22"/>
                <w:lang w:val="es-CO"/>
              </w:rPr>
            </w:pPr>
            <w:r w:rsidRPr="50EA1585" w:rsidR="50EA1585">
              <w:rPr>
                <w:rFonts w:ascii="Calibri" w:hAnsi="Calibri" w:eastAsia="Calibri" w:cs="Calibri"/>
                <w:i w:val="1"/>
                <w:iCs w:val="1"/>
                <w:noProof w:val="0"/>
                <w:color w:val="555555"/>
                <w:sz w:val="22"/>
                <w:szCs w:val="22"/>
                <w:lang w:val="es-CO"/>
              </w:rPr>
              <w:t>El territorio y la pertenencia étnica configuran derechos, protocolos y formas propias de relación con los ecosistemas. En Colombia, los pueblos étnicos cuentan con consulta previa, libre e informada como derecho fundamental. Saltarse estos protocolos rompe la legitimidad del proceso y puede invalidarlo jurídicamente.</w:t>
            </w:r>
          </w:p>
        </w:tc>
      </w:tr>
      <w:tr xmlns:wp14="http://schemas.microsoft.com/office/word/2010/wordml" w:rsidTr="50EA1585" w14:paraId="332B2104" wp14:textId="77777777">
        <w:tc>
          <w:tcPr>
            <w:tcW w:w="9360" w:type="dxa"/>
            <w:tcBorders>
              <w:top w:val="single" w:color="E0E8EE" w:sz="4"/>
              <w:left w:val="single" w:color="E0E8EE" w:sz="4"/>
              <w:bottom w:val="single" w:color="E0E8EE" w:sz="4"/>
              <w:right w:val="single" w:color="E0E8EE" w:sz="4"/>
            </w:tcBorders>
            <w:tcMar>
              <w:top w:w="140" w:type="dxa"/>
              <w:left w:w="200" w:type="dxa"/>
              <w:bottom w:w="100" w:type="dxa"/>
              <w:right w:w="200" w:type="dxa"/>
            </w:tcMar>
          </w:tcPr>
          <w:p w:rsidP="50EA1585" w14:paraId="4B442A63"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 convocatoria llega a pueblos indígenas, comunidades afrodescendientes, raizales, palenqueras, rom y comunidades campesinas presentes en el territorio del proceso?</w:t>
            </w:r>
          </w:p>
          <w:p w:rsidP="50EA1585" w14:paraId="250751C8"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¿El proceso reconoce los protocolos propios de consulta previa de los pueblos étnicos? ¿Hay autoridades tradicionales —cabildos, consejos comunitarios, kumpañy— que deben ser convocadas formalmente?</w:t>
            </w:r>
          </w:p>
          <w:p w:rsidP="50EA1585" w14:paraId="431AD21D"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 modalidad y el lugar permiten participación de comunidades rurales y periféricas, o concentran todo en cabeceras municipales lejanas de los territorios donde el conflicto ambiental ocurre?</w:t>
            </w:r>
          </w:p>
          <w:p w:rsidP="50EA1585" w14:paraId="2C935F87"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¿Hay traducción a lenguas propias cuando es pertinente? ¿Hay consideración de las diferencias entre el lenguaje técnico institucional y los términos propios con los que cada comunidad nombra el territorio, los ecosistemas y los problemas ambientales?</w:t>
            </w:r>
          </w:p>
          <w:p w:rsidP="50EA1585" w14:paraId="2F792652"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¿Se reconocen las relaciones específicas que cada comunidad tiene con el territorio —cosmovisiones, usos consuetudinarios, prácticas de manejo, sitios sagrados— como conocimiento ambiental válido, no solo como folclore o información complementaria?</w:t>
            </w:r>
          </w:p>
          <w:p w:rsidP="50EA1585" w14:paraId="70E249F4" wp14:textId="77777777">
            <w:pPr>
              <w:pStyle w:val="ListParagraph"/>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¿Se reconocen las diferencias internas de cada comunidad —de género, edad, liderazgo, posición frente al conflicto ambiental— o se la trata como un bloque homogéneo?</w:t>
            </w:r>
          </w:p>
          <w:p w:rsidP="50EA1585" w14:paraId="53381731" wp14:textId="0081F0FD">
            <w:pPr>
              <w:spacing w:before="140" w:after="0"/>
              <w:jc w:val="both"/>
              <w:rPr>
                <w:rFonts w:ascii="Calibri" w:hAnsi="Calibri" w:eastAsia="Calibri" w:cs="Calibri"/>
                <w:i w:val="1"/>
                <w:iCs w:val="1"/>
                <w:noProof w:val="0"/>
                <w:color w:val="555555"/>
                <w:sz w:val="22"/>
                <w:szCs w:val="22"/>
                <w:lang w:val="es-CO"/>
              </w:rPr>
            </w:pPr>
            <w:r w:rsidRPr="50EA1585" w:rsidR="50EA1585">
              <w:rPr>
                <w:rFonts w:ascii="Calibri" w:hAnsi="Calibri" w:eastAsia="Calibri" w:cs="Calibri"/>
                <w:noProof w:val="0"/>
                <w:color w:val="2E5266"/>
                <w:sz w:val="22"/>
                <w:szCs w:val="22"/>
                <w:lang w:val="es-CO"/>
              </w:rPr>
              <w:t xml:space="preserve">↻ </w:t>
            </w:r>
            <w:r w:rsidRPr="50EA1585" w:rsidR="50EA1585">
              <w:rPr>
                <w:rFonts w:ascii="Calibri" w:hAnsi="Calibri" w:eastAsia="Calibri" w:cs="Calibri"/>
                <w:i w:val="1"/>
                <w:iCs w:val="1"/>
                <w:noProof w:val="0"/>
                <w:color w:val="555555"/>
                <w:sz w:val="22"/>
                <w:szCs w:val="22"/>
                <w:lang w:val="es-CO"/>
              </w:rPr>
              <w:t>Las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mujeres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indígenas</w:t>
            </w:r>
            <w:r w:rsidRPr="50EA1585" w:rsidR="50EA1585">
              <w:rPr>
                <w:rFonts w:ascii="Calibri" w:hAnsi="Calibri" w:eastAsia="Calibri" w:cs="Calibri"/>
                <w:i w:val="1"/>
                <w:iCs w:val="1"/>
                <w:noProof w:val="0"/>
                <w:color w:val="555555"/>
                <w:sz w:val="22"/>
                <w:szCs w:val="22"/>
                <w:lang w:val="es-CO"/>
              </w:rPr>
              <w:t xml:space="preserve">, las personas </w:t>
            </w:r>
            <w:r w:rsidRPr="50EA1585" w:rsidR="50EA1585">
              <w:rPr>
                <w:rFonts w:ascii="Calibri" w:hAnsi="Calibri" w:eastAsia="Calibri" w:cs="Calibri"/>
                <w:i w:val="1"/>
                <w:iCs w:val="1"/>
                <w:noProof w:val="0"/>
                <w:color w:val="555555"/>
                <w:sz w:val="22"/>
                <w:szCs w:val="22"/>
                <w:lang w:val="es-CO"/>
              </w:rPr>
              <w:t>mayores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afrodescendientes</w:t>
            </w:r>
            <w:r w:rsidRPr="50EA1585" w:rsidR="50EA1585">
              <w:rPr>
                <w:rFonts w:ascii="Calibri" w:hAnsi="Calibri" w:eastAsia="Calibri" w:cs="Calibri"/>
                <w:i w:val="1"/>
                <w:iCs w:val="1"/>
                <w:noProof w:val="0"/>
                <w:color w:val="555555"/>
                <w:sz w:val="22"/>
                <w:szCs w:val="22"/>
                <w:lang w:val="es-CO"/>
              </w:rPr>
              <w:t xml:space="preserve">, las personas </w:t>
            </w:r>
            <w:r w:rsidRPr="50EA1585" w:rsidR="50EA1585">
              <w:rPr>
                <w:rFonts w:ascii="Calibri" w:hAnsi="Calibri" w:eastAsia="Calibri" w:cs="Calibri"/>
                <w:i w:val="1"/>
                <w:iCs w:val="1"/>
                <w:noProof w:val="0"/>
                <w:color w:val="555555"/>
                <w:sz w:val="22"/>
                <w:szCs w:val="22"/>
                <w:lang w:val="es-CO"/>
              </w:rPr>
              <w:t>jóvenes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campesinas</w:t>
            </w:r>
            <w:r w:rsidRPr="50EA1585" w:rsidR="50EA1585">
              <w:rPr>
                <w:rFonts w:ascii="Calibri" w:hAnsi="Calibri" w:eastAsia="Calibri" w:cs="Calibri"/>
                <w:i w:val="1"/>
                <w:iCs w:val="1"/>
                <w:noProof w:val="0"/>
                <w:color w:val="555555"/>
                <w:sz w:val="22"/>
                <w:szCs w:val="22"/>
                <w:lang w:val="es-CO"/>
              </w:rPr>
              <w:t xml:space="preserve"> no </w:t>
            </w:r>
            <w:r w:rsidRPr="50EA1585" w:rsidR="50EA1585">
              <w:rPr>
                <w:rFonts w:ascii="Calibri" w:hAnsi="Calibri" w:eastAsia="Calibri" w:cs="Calibri"/>
                <w:i w:val="1"/>
                <w:iCs w:val="1"/>
                <w:noProof w:val="0"/>
                <w:color w:val="555555"/>
                <w:sz w:val="22"/>
                <w:szCs w:val="22"/>
                <w:lang w:val="es-CO"/>
              </w:rPr>
              <w:t>están</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en</w:t>
            </w:r>
            <w:r w:rsidRPr="50EA1585" w:rsidR="50EA1585">
              <w:rPr>
                <w:rFonts w:ascii="Calibri" w:hAnsi="Calibri" w:eastAsia="Calibri" w:cs="Calibri"/>
                <w:i w:val="1"/>
                <w:iCs w:val="1"/>
                <w:noProof w:val="0"/>
                <w:color w:val="555555"/>
                <w:sz w:val="22"/>
                <w:szCs w:val="22"/>
                <w:lang w:val="es-CO"/>
              </w:rPr>
              <w:t xml:space="preserve"> la </w:t>
            </w:r>
            <w:r w:rsidRPr="50EA1585" w:rsidR="50EA1585">
              <w:rPr>
                <w:rFonts w:ascii="Calibri" w:hAnsi="Calibri" w:eastAsia="Calibri" w:cs="Calibri"/>
                <w:i w:val="1"/>
                <w:iCs w:val="1"/>
                <w:noProof w:val="0"/>
                <w:color w:val="555555"/>
                <w:sz w:val="22"/>
                <w:szCs w:val="22"/>
                <w:lang w:val="es-CO"/>
              </w:rPr>
              <w:t>intersección</w:t>
            </w:r>
            <w:r w:rsidRPr="50EA1585" w:rsidR="50EA1585">
              <w:rPr>
                <w:rFonts w:ascii="Calibri" w:hAnsi="Calibri" w:eastAsia="Calibri" w:cs="Calibri"/>
                <w:i w:val="1"/>
                <w:iCs w:val="1"/>
                <w:noProof w:val="0"/>
                <w:color w:val="555555"/>
                <w:sz w:val="22"/>
                <w:szCs w:val="22"/>
                <w:lang w:val="es-CO"/>
              </w:rPr>
              <w:t xml:space="preserve"> de </w:t>
            </w:r>
            <w:r w:rsidRPr="50EA1585" w:rsidR="50EA1585">
              <w:rPr>
                <w:rFonts w:ascii="Calibri" w:hAnsi="Calibri" w:eastAsia="Calibri" w:cs="Calibri"/>
                <w:i w:val="1"/>
                <w:iCs w:val="1"/>
                <w:noProof w:val="0"/>
                <w:color w:val="555555"/>
                <w:sz w:val="22"/>
                <w:szCs w:val="22"/>
                <w:lang w:val="es-CO"/>
              </w:rPr>
              <w:t>varias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categorías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viven</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exactamente</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en</w:t>
            </w:r>
            <w:r w:rsidRPr="50EA1585" w:rsidR="50EA1585">
              <w:rPr>
                <w:rFonts w:ascii="Calibri" w:hAnsi="Calibri" w:eastAsia="Calibri" w:cs="Calibri"/>
                <w:i w:val="1"/>
                <w:iCs w:val="1"/>
                <w:noProof w:val="0"/>
                <w:color w:val="555555"/>
                <w:sz w:val="22"/>
                <w:szCs w:val="22"/>
                <w:lang w:val="es-CO"/>
              </w:rPr>
              <w:t xml:space="preserve"> ese </w:t>
            </w:r>
            <w:r w:rsidRPr="50EA1585" w:rsidR="50EA1585">
              <w:rPr>
                <w:rFonts w:ascii="Calibri" w:hAnsi="Calibri" w:eastAsia="Calibri" w:cs="Calibri"/>
                <w:i w:val="1"/>
                <w:iCs w:val="1"/>
                <w:noProof w:val="0"/>
                <w:color w:val="555555"/>
                <w:sz w:val="22"/>
                <w:szCs w:val="22"/>
                <w:lang w:val="es-CO"/>
              </w:rPr>
              <w:t>cruce</w:t>
            </w:r>
            <w:r w:rsidRPr="50EA1585" w:rsidR="50EA1585">
              <w:rPr>
                <w:rFonts w:ascii="Calibri" w:hAnsi="Calibri" w:eastAsia="Calibri" w:cs="Calibri"/>
                <w:i w:val="1"/>
                <w:iCs w:val="1"/>
                <w:noProof w:val="0"/>
                <w:color w:val="555555"/>
                <w:sz w:val="22"/>
                <w:szCs w:val="22"/>
                <w:lang w:val="es-CO"/>
              </w:rPr>
              <w:t xml:space="preserve">. La </w:t>
            </w:r>
            <w:r w:rsidRPr="50EA1585" w:rsidR="50EA1585">
              <w:rPr>
                <w:rFonts w:ascii="Calibri" w:hAnsi="Calibri" w:eastAsia="Calibri" w:cs="Calibri"/>
                <w:i w:val="1"/>
                <w:iCs w:val="1"/>
                <w:noProof w:val="0"/>
                <w:color w:val="555555"/>
                <w:sz w:val="22"/>
                <w:szCs w:val="22"/>
                <w:lang w:val="es-CO"/>
              </w:rPr>
              <w:t>pregunta</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interseccional</w:t>
            </w:r>
            <w:r w:rsidRPr="50EA1585" w:rsidR="50EA1585">
              <w:rPr>
                <w:rFonts w:ascii="Calibri" w:hAnsi="Calibri" w:eastAsia="Calibri" w:cs="Calibri"/>
                <w:i w:val="1"/>
                <w:iCs w:val="1"/>
                <w:noProof w:val="0"/>
                <w:color w:val="555555"/>
                <w:sz w:val="22"/>
                <w:szCs w:val="22"/>
                <w:lang w:val="es-CO"/>
              </w:rPr>
              <w:t xml:space="preserve"> es </w:t>
            </w:r>
            <w:r w:rsidRPr="50EA1585" w:rsidR="50EA1585">
              <w:rPr>
                <w:rFonts w:ascii="Calibri" w:hAnsi="Calibri" w:eastAsia="Calibri" w:cs="Calibri"/>
                <w:i w:val="1"/>
                <w:iCs w:val="1"/>
                <w:noProof w:val="0"/>
                <w:color w:val="555555"/>
                <w:sz w:val="22"/>
                <w:szCs w:val="22"/>
                <w:lang w:val="es-CO"/>
              </w:rPr>
              <w:t>donde</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realmente</w:t>
            </w:r>
            <w:r w:rsidRPr="50EA1585" w:rsidR="50EA1585">
              <w:rPr>
                <w:rFonts w:ascii="Calibri" w:hAnsi="Calibri" w:eastAsia="Calibri" w:cs="Calibri"/>
                <w:i w:val="1"/>
                <w:iCs w:val="1"/>
                <w:noProof w:val="0"/>
                <w:color w:val="555555"/>
                <w:sz w:val="22"/>
                <w:szCs w:val="22"/>
                <w:lang w:val="es-CO"/>
              </w:rPr>
              <w:t xml:space="preserve"> las </w:t>
            </w:r>
            <w:r w:rsidRPr="50EA1585" w:rsidR="50EA1585">
              <w:rPr>
                <w:rFonts w:ascii="Calibri" w:hAnsi="Calibri" w:eastAsia="Calibri" w:cs="Calibri"/>
                <w:i w:val="1"/>
                <w:iCs w:val="1"/>
                <w:noProof w:val="0"/>
                <w:color w:val="555555"/>
                <w:sz w:val="22"/>
                <w:szCs w:val="22"/>
                <w:lang w:val="es-CO"/>
              </w:rPr>
              <w:t>lentes</w:t>
            </w:r>
            <w:r w:rsidRPr="50EA1585" w:rsidR="50EA1585">
              <w:rPr>
                <w:rFonts w:ascii="Calibri" w:hAnsi="Calibri" w:eastAsia="Calibri" w:cs="Calibri"/>
                <w:i w:val="1"/>
                <w:iCs w:val="1"/>
                <w:noProof w:val="0"/>
                <w:color w:val="555555"/>
                <w:sz w:val="22"/>
                <w:szCs w:val="22"/>
                <w:lang w:val="es-CO"/>
              </w:rPr>
              <w:t xml:space="preserve"> </w:t>
            </w:r>
            <w:r w:rsidRPr="50EA1585" w:rsidR="50EA1585">
              <w:rPr>
                <w:rFonts w:ascii="Calibri" w:hAnsi="Calibri" w:eastAsia="Calibri" w:cs="Calibri"/>
                <w:i w:val="1"/>
                <w:iCs w:val="1"/>
                <w:noProof w:val="0"/>
                <w:color w:val="555555"/>
                <w:sz w:val="22"/>
                <w:szCs w:val="22"/>
                <w:lang w:val="es-CO"/>
              </w:rPr>
              <w:t>empiezan</w:t>
            </w:r>
            <w:r w:rsidRPr="50EA1585" w:rsidR="50EA1585">
              <w:rPr>
                <w:rFonts w:ascii="Calibri" w:hAnsi="Calibri" w:eastAsia="Calibri" w:cs="Calibri"/>
                <w:i w:val="1"/>
                <w:iCs w:val="1"/>
                <w:noProof w:val="0"/>
                <w:color w:val="555555"/>
                <w:sz w:val="22"/>
                <w:szCs w:val="22"/>
                <w:lang w:val="es-CO"/>
              </w:rPr>
              <w:t xml:space="preserve"> a </w:t>
            </w:r>
            <w:r w:rsidRPr="50EA1585" w:rsidR="50EA1585">
              <w:rPr>
                <w:rFonts w:ascii="Calibri" w:hAnsi="Calibri" w:eastAsia="Calibri" w:cs="Calibri"/>
                <w:i w:val="1"/>
                <w:iCs w:val="1"/>
                <w:noProof w:val="0"/>
                <w:color w:val="555555"/>
                <w:sz w:val="22"/>
                <w:szCs w:val="22"/>
                <w:lang w:val="es-CO"/>
              </w:rPr>
              <w:t>servir</w:t>
            </w:r>
            <w:r w:rsidRPr="50EA1585" w:rsidR="50EA1585">
              <w:rPr>
                <w:rFonts w:ascii="Calibri" w:hAnsi="Calibri" w:eastAsia="Calibri" w:cs="Calibri"/>
                <w:i w:val="1"/>
                <w:iCs w:val="1"/>
                <w:noProof w:val="0"/>
                <w:color w:val="555555"/>
                <w:sz w:val="22"/>
                <w:szCs w:val="22"/>
                <w:lang w:val="es-CO"/>
              </w:rPr>
              <w:t>.</w:t>
            </w:r>
          </w:p>
        </w:tc>
      </w:tr>
    </w:tbl>
    <w:p xmlns:wp14="http://schemas.microsoft.com/office/word/2010/wordml" w:rsidP="50EA1585" w14:paraId="5DAB6C7B" wp14:textId="77777777">
      <w:pPr>
        <w:spacing w:before="200" w:after="0"/>
        <w:jc w:val="both"/>
        <w:rPr>
          <w:rFonts w:ascii="Calibri" w:hAnsi="Calibri" w:eastAsia="Calibri" w:cs="Calibri"/>
          <w:noProof w:val="0"/>
          <w:sz w:val="22"/>
          <w:szCs w:val="22"/>
          <w:lang w:val="es-CO"/>
        </w:rPr>
      </w:pPr>
    </w:p>
    <w:p w:rsidR="4B434707" w:rsidP="4B434707" w:rsidRDefault="4B434707" w14:paraId="59A7B99F" w14:textId="677FCE56">
      <w:pPr>
        <w:spacing w:before="200" w:after="0"/>
        <w:jc w:val="both"/>
        <w:rPr>
          <w:rFonts w:ascii="Calibri" w:hAnsi="Calibri" w:eastAsia="Calibri" w:cs="Calibri"/>
          <w:noProof w:val="0"/>
          <w:sz w:val="22"/>
          <w:szCs w:val="22"/>
          <w:lang w:val="es-CO"/>
        </w:rPr>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4B434707" w14:paraId="0EC6C3A4" wp14:textId="77777777">
        <w:tc>
          <w:tcPr>
            <w:tcW w:w="9360" w:type="dxa"/>
            <w:tcBorders>
              <w:top w:val="single" w:color="E0E8EE" w:sz="4"/>
              <w:left w:val="single" w:color="E0E8EE" w:sz="4"/>
              <w:bottom w:val="single" w:color="2E5266" w:sz="12"/>
              <w:right w:val="single" w:color="E0E8EE" w:sz="4"/>
            </w:tcBorders>
            <w:shd w:val="clear" w:color="auto" w:fill="EAF2F8"/>
            <w:tcMar>
              <w:top w:w="140" w:type="dxa"/>
              <w:left w:w="200" w:type="dxa"/>
              <w:bottom w:w="140" w:type="dxa"/>
              <w:right w:w="200" w:type="dxa"/>
            </w:tcMar>
          </w:tcPr>
          <w:p w:rsidP="50EA1585" w14:paraId="364924B8" wp14:textId="0E9631B7">
            <w:pPr>
              <w:spacing w:before="0" w:after="60"/>
              <w:jc w:val="both"/>
              <w:rPr>
                <w:rFonts w:ascii="Calibri" w:hAnsi="Calibri" w:eastAsia="Calibri" w:cs="Calibri"/>
                <w:b w:val="1"/>
                <w:bCs w:val="1"/>
                <w:noProof w:val="0"/>
                <w:color w:val="000000"/>
                <w:sz w:val="22"/>
                <w:szCs w:val="22"/>
                <w:lang w:val="es-CO"/>
              </w:rPr>
            </w:pPr>
            <w:r w:rsidRPr="50EA1585" w:rsidR="50EA1585">
              <w:rPr>
                <w:rFonts w:ascii="Calibri" w:hAnsi="Calibri" w:eastAsia="Calibri" w:cs="Calibri"/>
                <w:b w:val="1"/>
                <w:bCs w:val="1"/>
                <w:noProof w:val="0"/>
                <w:color w:val="2E5266"/>
                <w:sz w:val="22"/>
                <w:szCs w:val="22"/>
                <w:lang w:val="es-CO"/>
              </w:rPr>
              <w:t xml:space="preserve">▸ </w:t>
            </w:r>
            <w:r w:rsidRPr="50EA1585" w:rsidR="50EA1585">
              <w:rPr>
                <w:rFonts w:ascii="Calibri" w:hAnsi="Calibri" w:eastAsia="Calibri" w:cs="Calibri"/>
                <w:b w:val="1"/>
                <w:bCs w:val="1"/>
                <w:noProof w:val="0"/>
                <w:color w:val="2E5266"/>
                <w:sz w:val="22"/>
                <w:szCs w:val="22"/>
                <w:lang w:val="es-CO"/>
              </w:rPr>
              <w:t>LENTE DE</w:t>
            </w:r>
            <w:r w:rsidRPr="50EA1585" w:rsidR="50EA1585">
              <w:rPr>
                <w:rFonts w:ascii="Calibri" w:hAnsi="Calibri" w:eastAsia="Calibri" w:cs="Calibri"/>
                <w:b w:val="1"/>
                <w:bCs w:val="1"/>
                <w:noProof w:val="0"/>
                <w:color w:val="000000"/>
                <w:sz w:val="22"/>
                <w:szCs w:val="22"/>
                <w:lang w:val="es-CO"/>
              </w:rPr>
              <w:t xml:space="preserve"> CAPACIDADES</w:t>
            </w:r>
          </w:p>
          <w:p w:rsidP="50EA1585" w14:paraId="4DE7FAC3" wp14:textId="77777777">
            <w:pPr>
              <w:spacing w:before="0" w:after="0"/>
              <w:jc w:val="both"/>
              <w:rPr>
                <w:rFonts w:ascii="Calibri" w:hAnsi="Calibri" w:eastAsia="Calibri" w:cs="Calibri"/>
                <w:i w:val="1"/>
                <w:iCs w:val="1"/>
                <w:noProof w:val="0"/>
                <w:color w:val="555555"/>
                <w:sz w:val="22"/>
                <w:szCs w:val="22"/>
                <w:lang w:val="es-CO"/>
              </w:rPr>
            </w:pPr>
            <w:r w:rsidRPr="50EA1585" w:rsidR="50EA1585">
              <w:rPr>
                <w:rFonts w:ascii="Calibri" w:hAnsi="Calibri" w:eastAsia="Calibri" w:cs="Calibri"/>
                <w:i w:val="1"/>
                <w:iCs w:val="1"/>
                <w:noProof w:val="0"/>
                <w:color w:val="555555"/>
                <w:sz w:val="22"/>
                <w:szCs w:val="22"/>
                <w:lang w:val="es-CO"/>
              </w:rPr>
              <w:t>Los procesos de gobernanza ambiental suelen asumir un participante modelo: con tiempo libre, sin discapacidad, sin enfermedad crónica, sin necesidades de cuidado, con manejo del lenguaje técnico-jurídico y con organización propia que sostiene su asistencia. Quienes no encajan en ese modelo —que es la mayoría— quedan sistemáticamente por fuera.</w:t>
            </w:r>
          </w:p>
        </w:tc>
      </w:tr>
      <w:tr xmlns:wp14="http://schemas.microsoft.com/office/word/2010/wordml" w:rsidTr="4B434707" w14:paraId="093C379A" wp14:textId="77777777">
        <w:tc>
          <w:tcPr>
            <w:tcW w:w="9360" w:type="dxa"/>
            <w:tcBorders>
              <w:top w:val="single" w:color="E0E8EE" w:sz="4"/>
              <w:left w:val="single" w:color="E0E8EE" w:sz="4"/>
              <w:bottom w:val="single" w:color="E0E8EE" w:sz="4"/>
              <w:right w:val="single" w:color="E0E8EE" w:sz="4"/>
            </w:tcBorders>
            <w:tcMar>
              <w:top w:w="140" w:type="dxa"/>
              <w:left w:w="200" w:type="dxa"/>
              <w:bottom w:w="100" w:type="dxa"/>
              <w:right w:w="200" w:type="dxa"/>
            </w:tcMar>
          </w:tcPr>
          <w:p w:rsidP="50EA1585" w14:paraId="35A78FAD"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 participación requiere conocimiento técnico, jurídico o financiero que solo algunos actores tienen? Por ejemplo: términos como POMCA, soluciones basadas en la naturaleza, pago por servicios ambientales, regalías, EIA, compensación por biodiversidad.</w:t>
            </w:r>
          </w:p>
          <w:p w:rsidP="50EA1585" w14:paraId="0B5DF9D9"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¿El lenguaje y los materiales son accesibles para participantes con distintos niveles educativos, sin que quien no maneja el vocabulario técnico quede silenciado por vergüenza o desventaja?</w:t>
            </w:r>
          </w:p>
          <w:p w:rsidP="50EA1585" w14:paraId="76A17511"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¿Hay accesibilidad física, sensorial y cognitiva? (rampas, intérpretes de lengua de señas, materiales en formatos alternativos, descansos, traducción simultánea cuando se necesite).</w:t>
            </w:r>
          </w:p>
          <w:p w:rsidP="50EA1585" w14:paraId="45F8CAA6"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¿Los actores con menos capacidad técnica —pequeñas y medianas empresas locales frente a multinacionales; organizaciones de base frente a grandes ONGs ambientales; comunidades campesinas frente a equipos jurídicos especializados— tienen apoyo para preparar y sostener su participación?</w:t>
            </w:r>
          </w:p>
          <w:p w:rsidP="50EA1585" w14:paraId="66F6AF15"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 convocatoria asume implícitamente un cuerpo y un tiempo “capaces”? ¿Considera la fatiga acumulada de quienes han participado en muchos procesos previos sin ver resultados, o de quienes sostienen su participación a costa de salud, ingresos o cuidado de otras personas?</w:t>
            </w:r>
          </w:p>
          <w:p w:rsidP="4B434707" w14:paraId="4B7C8490" wp14:textId="3607C8BA">
            <w:pPr>
              <w:pageBreakBefore w:val="0"/>
              <w:widowControl w:val="0"/>
              <w:spacing w:before="140" w:after="0"/>
              <w:jc w:val="both"/>
              <w:rPr>
                <w:rFonts w:ascii="Calibri" w:hAnsi="Calibri" w:eastAsia="Calibri" w:cs="Calibri"/>
                <w:i w:val="1"/>
                <w:iCs w:val="1"/>
                <w:noProof w:val="0"/>
                <w:color w:val="555555"/>
                <w:sz w:val="22"/>
                <w:szCs w:val="22"/>
                <w:lang w:val="es-CO"/>
              </w:rPr>
            </w:pPr>
            <w:r w:rsidRPr="4B434707" w:rsidR="63AEEA61">
              <w:rPr>
                <w:rFonts w:ascii="Calibri" w:hAnsi="Calibri" w:eastAsia="Calibri" w:cs="Calibri"/>
                <w:noProof w:val="0"/>
                <w:color w:val="2E5266"/>
                <w:sz w:val="22"/>
                <w:szCs w:val="22"/>
                <w:lang w:val="es-CO"/>
              </w:rPr>
              <w:t>↻ Esta</w:t>
            </w:r>
            <w:r w:rsidRPr="4B434707" w:rsidR="50EA1585">
              <w:rPr>
                <w:rFonts w:ascii="Calibri" w:hAnsi="Calibri" w:eastAsia="Calibri" w:cs="Calibri"/>
                <w:i w:val="1"/>
                <w:iCs w:val="1"/>
                <w:noProof w:val="0"/>
                <w:color w:val="555555"/>
                <w:sz w:val="22"/>
                <w:szCs w:val="22"/>
                <w:lang w:val="es-CO"/>
              </w:rPr>
              <w:t xml:space="preserve"> lente no es solo accesibilidad. Es una pregunta sobre cuál es el cuerpo, el tiempo y el saber que el espacio asume como norma —y quiénes quedan fuera de esa norma sin que nadie lo nombre.</w:t>
            </w:r>
          </w:p>
        </w:tc>
      </w:tr>
    </w:tbl>
    <w:p xmlns:wp14="http://schemas.microsoft.com/office/word/2010/wordml" w:rsidP="50EA1585" w14:paraId="3C4EA46C" wp14:textId="77777777">
      <w:pPr>
        <w:pageBreakBefore w:val="0"/>
        <w:widowControl w:val="0"/>
        <w:spacing w:before="320" w:after="140"/>
        <w:jc w:val="both"/>
        <w:rPr>
          <w:rFonts w:ascii="Calibri" w:hAnsi="Calibri" w:eastAsia="Calibri" w:cs="Calibri"/>
          <w:b w:val="1"/>
          <w:bCs w:val="1"/>
          <w:noProof w:val="0"/>
          <w:color w:val="2E5266"/>
          <w:sz w:val="22"/>
          <w:szCs w:val="22"/>
          <w:lang w:val="es-CO"/>
        </w:rPr>
      </w:pPr>
      <w:r w:rsidRPr="50EA1585" w:rsidR="50EA1585">
        <w:rPr>
          <w:rFonts w:ascii="Calibri" w:hAnsi="Calibri" w:eastAsia="Calibri" w:cs="Calibri"/>
          <w:b w:val="1"/>
          <w:bCs w:val="1"/>
          <w:noProof w:val="0"/>
          <w:color w:val="2E5266"/>
          <w:sz w:val="22"/>
          <w:szCs w:val="22"/>
          <w:lang w:val="es-CO"/>
        </w:rPr>
        <w:t>3. La pregunta interseccional</w:t>
      </w:r>
    </w:p>
    <w:p xmlns:wp14="http://schemas.microsoft.com/office/word/2010/wordml" w:rsidP="50EA1585" w14:paraId="1CF9F196" wp14:textId="77777777">
      <w:pPr>
        <w:pageBreakBefore w:val="0"/>
        <w:widowControl w:val="0"/>
        <w:spacing w:before="0" w:after="160"/>
        <w:jc w:val="both"/>
        <w:rPr>
          <w:rFonts w:ascii="Calibri" w:hAnsi="Calibri" w:eastAsia="Calibri" w:cs="Calibri"/>
          <w:b w:val="0"/>
          <w:bCs w:val="0"/>
          <w:i w:val="0"/>
          <w:iCs w:val="0"/>
          <w:noProof w:val="0"/>
          <w:color w:val="000000"/>
          <w:sz w:val="22"/>
          <w:szCs w:val="22"/>
          <w:lang w:val="es-CO"/>
        </w:rPr>
      </w:pPr>
      <w:r w:rsidRPr="50EA1585" w:rsidR="50EA1585">
        <w:rPr>
          <w:rFonts w:ascii="Calibri" w:hAnsi="Calibri" w:eastAsia="Calibri" w:cs="Calibri"/>
          <w:b w:val="0"/>
          <w:bCs w:val="0"/>
          <w:i w:val="0"/>
          <w:iCs w:val="0"/>
          <w:noProof w:val="0"/>
          <w:color w:val="000000"/>
          <w:sz w:val="22"/>
          <w:szCs w:val="22"/>
          <w:lang w:val="es-CO"/>
        </w:rPr>
        <w:t>Aquí empieza el verdadero trabajo. Las lentes son punto de entrada; los cruces son donde están las personas. En conflictos socioambientales, las cargas no se reparten parejas: se concentran en quienes viven precisamente en la intersección de varias categorías.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4B434707" w14:paraId="5E1121F7" wp14:textId="77777777">
        <w:trPr>
          <w:trHeight w:val="5925"/>
        </w:trPr>
        <w:tc>
          <w:tcPr>
            <w:tcW w:w="9360" w:type="dxa"/>
            <w:tcBorders>
              <w:top w:val="single" w:color="7B5BA8" w:sz="4"/>
              <w:left w:val="single" w:color="7B5BA8" w:sz="4"/>
              <w:bottom w:val="single" w:color="7B5BA8" w:sz="4"/>
              <w:right w:val="single" w:color="7B5BA8" w:sz="4"/>
            </w:tcBorders>
            <w:shd w:val="clear" w:color="auto" w:fill="F5F0F8"/>
            <w:tcMar>
              <w:top w:w="160" w:type="dxa"/>
              <w:left w:w="200" w:type="dxa"/>
              <w:bottom w:w="160" w:type="dxa"/>
              <w:right w:w="200" w:type="dxa"/>
            </w:tcMar>
          </w:tcPr>
          <w:p w:rsidP="50EA1585" w14:paraId="2CBD671B" wp14:textId="77777777">
            <w:pPr>
              <w:pageBreakBefore w:val="0"/>
              <w:widowControl w:val="0"/>
              <w:spacing w:before="0" w:after="80"/>
              <w:jc w:val="both"/>
              <w:rPr>
                <w:rFonts w:ascii="Calibri" w:hAnsi="Calibri" w:eastAsia="Calibri" w:cs="Calibri"/>
                <w:b w:val="1"/>
                <w:bCs w:val="1"/>
                <w:noProof w:val="0"/>
                <w:color w:val="7B5BA8"/>
                <w:sz w:val="22"/>
                <w:szCs w:val="22"/>
                <w:lang w:val="es-CO"/>
              </w:rPr>
            </w:pPr>
            <w:r w:rsidRPr="50EA1585" w:rsidR="50EA1585">
              <w:rPr>
                <w:rFonts w:ascii="Calibri" w:hAnsi="Calibri" w:eastAsia="Calibri" w:cs="Calibri"/>
                <w:b w:val="1"/>
                <w:bCs w:val="1"/>
                <w:noProof w:val="0"/>
                <w:color w:val="7B5BA8"/>
                <w:sz w:val="22"/>
                <w:szCs w:val="22"/>
                <w:lang w:val="es-CO"/>
              </w:rPr>
              <w:t>▸ ¿QUÉ CRUCES DE DESIGUALDAD OPERA EL CONFLICTO AMBIENTAL CONCRETO QUE ABORDA SU PROCESO?</w:t>
            </w:r>
          </w:p>
          <w:p w:rsidP="50EA1585" w14:paraId="6B0A364B" wp14:textId="77777777">
            <w:pPr>
              <w:pageBreakBefore w:val="0"/>
              <w:widowControl w:val="0"/>
              <w:spacing w:before="0" w:after="100"/>
              <w:jc w:val="both"/>
              <w:rPr>
                <w:rFonts w:ascii="Calibri" w:hAnsi="Calibri" w:eastAsia="Calibri" w:cs="Calibri"/>
                <w:noProof w:val="0"/>
                <w:color w:val="333333"/>
                <w:sz w:val="22"/>
                <w:szCs w:val="22"/>
                <w:lang w:val="es-CO"/>
              </w:rPr>
            </w:pPr>
            <w:r w:rsidRPr="50EA1585" w:rsidR="50EA1585">
              <w:rPr>
                <w:rFonts w:ascii="Calibri" w:hAnsi="Calibri" w:eastAsia="Calibri" w:cs="Calibri"/>
                <w:noProof w:val="0"/>
                <w:color w:val="333333"/>
                <w:sz w:val="22"/>
                <w:szCs w:val="22"/>
                <w:lang w:val="es-CO"/>
              </w:rPr>
              <w:t>Eviten pensar en grupos aislados. Identifiquen cruces concretos en el territorio del proceso, anclados en el conflicto ambiental que están abordando, no genéricos.</w:t>
            </w:r>
          </w:p>
          <w:p w:rsidP="50EA1585" w14:paraId="511303D5"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¿Están considerando solo “mujeres”, o también mujeres rurales jóvenes que cuidan niñas y niños mientras los hombres asisten a las reuniones sobre el agua del territorio?</w:t>
            </w:r>
          </w:p>
          <w:p w:rsidP="50EA1585" w14:paraId="6F59E5EB"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¿Están considerando solo “empresas”, o también pequeñas y medianas empresas en municipios periféricos con poca capacidad técnica frente a multinacionales en debates extractivos?</w:t>
            </w:r>
          </w:p>
          <w:p w:rsidP="50EA1585" w14:paraId="779133E7"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¿Están considerando solo “comunidades étnicas”, o reconocen las diferencias internas —de género, edad, liderazgo, posición frente al conflicto ambiental— dentro de cada una?</w:t>
            </w:r>
          </w:p>
          <w:p w:rsidP="50EA1585" w14:paraId="60721EA3"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¿Quiénes son, en su territorio concreto, las personas que están en el cruce de varias categorías y que cargan con efectos ambientales desproporcionados? (Por ejemplo: lideresas indígenas mayores en zonas de minería; jóvenes afrodescendientes en territorios con conflictos de tierra; mujeres campesinas en cuencas contaminadas; pequeños pescadores con discapacidad en humedales degradados.)</w:t>
            </w:r>
          </w:p>
          <w:p w:rsidP="50EA1585" w14:paraId="30F6A936"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¿Qué combinaciones específicas de territorio, género, edad, recursos y origen étnico configuran la experiencia del problema ambiental que su proceso aborda?</w:t>
            </w:r>
          </w:p>
        </w:tc>
      </w:tr>
    </w:tbl>
    <w:p xmlns:wp14="http://schemas.microsoft.com/office/word/2010/wordml" w:rsidP="50EA1585" w14:paraId="3A4890D2" wp14:textId="77777777">
      <w:pPr>
        <w:pageBreakBefore w:val="0"/>
        <w:widowControl w:val="0"/>
        <w:spacing w:before="320" w:after="140"/>
        <w:jc w:val="both"/>
        <w:rPr>
          <w:rFonts w:ascii="Calibri" w:hAnsi="Calibri" w:eastAsia="Calibri" w:cs="Calibri"/>
          <w:b w:val="1"/>
          <w:bCs w:val="1"/>
          <w:noProof w:val="0"/>
          <w:color w:val="2E5266"/>
          <w:sz w:val="22"/>
          <w:szCs w:val="22"/>
          <w:lang w:val="es-CO"/>
        </w:rPr>
      </w:pPr>
      <w:r w:rsidRPr="50EA1585" w:rsidR="50EA1585">
        <w:rPr>
          <w:rFonts w:ascii="Calibri" w:hAnsi="Calibri" w:eastAsia="Calibri" w:cs="Calibri"/>
          <w:b w:val="1"/>
          <w:bCs w:val="1"/>
          <w:noProof w:val="0"/>
          <w:color w:val="2E5266"/>
          <w:sz w:val="22"/>
          <w:szCs w:val="22"/>
          <w:lang w:val="es-CO"/>
        </w:rPr>
        <w:t>4. La pregunta sobre incidencia</w:t>
      </w:r>
    </w:p>
    <w:p xmlns:wp14="http://schemas.microsoft.com/office/word/2010/wordml" w:rsidP="50EA1585" w14:paraId="547FBD62" wp14:textId="77777777">
      <w:pPr>
        <w:pageBreakBefore w:val="0"/>
        <w:widowControl w:val="0"/>
        <w:spacing w:before="0" w:after="160"/>
        <w:jc w:val="both"/>
        <w:rPr>
          <w:rFonts w:ascii="Calibri" w:hAnsi="Calibri" w:eastAsia="Calibri" w:cs="Calibri"/>
          <w:b w:val="0"/>
          <w:bCs w:val="0"/>
          <w:i w:val="0"/>
          <w:iCs w:val="0"/>
          <w:noProof w:val="0"/>
          <w:color w:val="000000"/>
          <w:sz w:val="22"/>
          <w:szCs w:val="22"/>
          <w:lang w:val="es-CO"/>
        </w:rPr>
      </w:pPr>
      <w:r w:rsidRPr="50EA1585" w:rsidR="50EA1585">
        <w:rPr>
          <w:rFonts w:ascii="Calibri" w:hAnsi="Calibri" w:eastAsia="Calibri" w:cs="Calibri"/>
          <w:b w:val="0"/>
          <w:bCs w:val="0"/>
          <w:i w:val="0"/>
          <w:iCs w:val="0"/>
          <w:noProof w:val="0"/>
          <w:color w:val="000000"/>
          <w:sz w:val="22"/>
          <w:szCs w:val="22"/>
          <w:lang w:val="es-CO"/>
        </w:rPr>
        <w:t>Asistir no es lo mismo que incidir. Aunque un actor venga al espacio, puede no tener condiciones equitativas para influir en las decisiones ambientales. Esta es la pregunta que distingue una convocatoria igualitaria de una equitativa, y la que más conecta con la crítica del policy brief sobre procesos que generan fatiga participativa sin transformar las estructuras de poder en el territorio.</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4B434707" w14:paraId="36D1FB34" wp14:textId="77777777">
        <w:tc>
          <w:tcPr>
            <w:tcW w:w="9360" w:type="dxa"/>
            <w:tcBorders>
              <w:top w:val="single" w:color="1F6F4A" w:sz="4"/>
              <w:left w:val="single" w:color="1F6F4A" w:sz="4"/>
              <w:bottom w:val="single" w:color="1F6F4A" w:sz="4"/>
              <w:right w:val="single" w:color="1F6F4A" w:sz="4"/>
            </w:tcBorders>
            <w:shd w:val="clear" w:color="auto" w:fill="F0F5F0"/>
            <w:tcMar>
              <w:top w:w="160" w:type="dxa"/>
              <w:left w:w="200" w:type="dxa"/>
              <w:bottom w:w="160" w:type="dxa"/>
              <w:right w:w="200" w:type="dxa"/>
            </w:tcMar>
          </w:tcPr>
          <w:p w:rsidP="50EA1585" w14:paraId="0E3032C7" wp14:textId="7FDCC92B">
            <w:pPr>
              <w:pageBreakBefore w:val="0"/>
              <w:widowControl w:val="0"/>
              <w:spacing w:before="0" w:after="80"/>
              <w:jc w:val="both"/>
              <w:rPr>
                <w:rFonts w:ascii="Calibri" w:hAnsi="Calibri" w:eastAsia="Calibri" w:cs="Calibri"/>
                <w:b w:val="1"/>
                <w:bCs w:val="1"/>
                <w:noProof w:val="0"/>
                <w:color w:val="1F6F4A"/>
                <w:sz w:val="22"/>
                <w:szCs w:val="22"/>
                <w:lang w:val="es-CO"/>
              </w:rPr>
            </w:pPr>
            <w:r w:rsidRPr="4B434707" w:rsidR="50EA1585">
              <w:rPr>
                <w:rFonts w:ascii="Calibri" w:hAnsi="Calibri" w:eastAsia="Calibri" w:cs="Calibri"/>
                <w:b w:val="1"/>
                <w:bCs w:val="1"/>
                <w:noProof w:val="0"/>
                <w:color w:val="1F6F4A"/>
                <w:sz w:val="22"/>
                <w:szCs w:val="22"/>
                <w:lang w:val="es-CO"/>
              </w:rPr>
              <w:t xml:space="preserve">▸ ¿QUIÉN </w:t>
            </w:r>
            <w:r w:rsidRPr="4B434707" w:rsidR="6726C56D">
              <w:rPr>
                <w:rFonts w:ascii="Calibri" w:hAnsi="Calibri" w:eastAsia="Calibri" w:cs="Calibri"/>
                <w:b w:val="1"/>
                <w:bCs w:val="1"/>
                <w:noProof w:val="0"/>
                <w:color w:val="1F6F4A"/>
                <w:sz w:val="22"/>
                <w:szCs w:val="22"/>
                <w:lang w:val="es-CO"/>
              </w:rPr>
              <w:t>PARTICIPA,</w:t>
            </w:r>
            <w:r w:rsidRPr="4B434707" w:rsidR="50EA1585">
              <w:rPr>
                <w:rFonts w:ascii="Calibri" w:hAnsi="Calibri" w:eastAsia="Calibri" w:cs="Calibri"/>
                <w:b w:val="1"/>
                <w:bCs w:val="1"/>
                <w:noProof w:val="0"/>
                <w:color w:val="1F6F4A"/>
                <w:sz w:val="22"/>
                <w:szCs w:val="22"/>
                <w:lang w:val="es-CO"/>
              </w:rPr>
              <w:t xml:space="preserve"> PERO NO LOGRA INCIDIR?</w:t>
            </w:r>
          </w:p>
          <w:p w:rsidP="50EA1585" w14:paraId="636CA0B3" wp14:textId="77777777">
            <w:pPr>
              <w:pageBreakBefore w:val="0"/>
              <w:widowControl w:val="0"/>
              <w:spacing w:before="0" w:after="100"/>
              <w:jc w:val="both"/>
              <w:rPr>
                <w:rFonts w:ascii="Calibri" w:hAnsi="Calibri" w:eastAsia="Calibri" w:cs="Calibri"/>
                <w:noProof w:val="0"/>
                <w:color w:val="333333"/>
                <w:sz w:val="22"/>
                <w:szCs w:val="22"/>
                <w:lang w:val="es-CO"/>
              </w:rPr>
            </w:pPr>
            <w:r w:rsidRPr="50EA1585" w:rsidR="50EA1585">
              <w:rPr>
                <w:rFonts w:ascii="Calibri" w:hAnsi="Calibri" w:eastAsia="Calibri" w:cs="Calibri"/>
                <w:noProof w:val="0"/>
                <w:color w:val="333333"/>
                <w:sz w:val="22"/>
                <w:szCs w:val="22"/>
                <w:lang w:val="es-CO"/>
              </w:rPr>
              <w:t>Las reglas formales del espacio pueden tratar a todas las personas por igual, pero esa igualdad formal no siempre se traduce en equidad real. En procesos de gobernanza ambiental, la asimetría de capacidades técnicas y de acceso a información suele ser el filtro principal.</w:t>
            </w:r>
          </w:p>
          <w:p w:rsidP="50EA1585" w14:paraId="29C251D2"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¿Quién tiene tiempo de intervención más largo y por qué? ¿Hay actores que solo dan opiniones cortas mientras otros hacen presentaciones técnicas extensas con datos hidrológicos, jurídicos o financieros?</w:t>
            </w:r>
          </w:p>
          <w:p w:rsidP="50EA1585" w14:paraId="4460A3BF"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¿Quién tiene acceso a la información técnica antes del espacio? (estudios de impacto ambiental, análisis hidrológicos, datos de biodiversidad, planes de manejo, presupuestos). ¿Quién la recibe en el momento mismo del encuentro o no la recibe?</w:t>
            </w:r>
          </w:p>
          <w:p w:rsidP="50EA1585" w14:paraId="18E0B258"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¿Quién entiende el lenguaje de las decisiones ambientales —jurídico, técnico, financiero— y quién no? ¿Se traduce ese lenguaje sin condescendencia ni simplificación que infantilice?</w:t>
            </w:r>
          </w:p>
          <w:p w:rsidP="50EA1585" w14:paraId="2A9C1DC3"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¿El conocimiento técnico desplaza el conocimiento experiencial y tradicional sobre el territorio, o ambos tienen el mismo peso en la decisión?</w:t>
            </w:r>
          </w:p>
          <w:p w:rsidP="50EA1585" w14:paraId="1E55D678"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¿Quién tiene capacidad de hacer seguimiento posterior —recursos, tiempo, estructura organizacional— y quién no, especialmente cuando los procesos ambientales se extienden por años?</w:t>
            </w:r>
          </w:p>
          <w:p w:rsidP="50EA1585" w14:paraId="18F8AE0F" wp14:textId="77777777">
            <w:pPr>
              <w:pStyle w:val="ListParagraph"/>
              <w:pageBreakBefore w:val="0"/>
              <w:widowControl w:val="0"/>
              <w:numPr>
                <w:ilvl w:val="0"/>
                <w:numId w:val="2"/>
              </w:numPr>
              <w:spacing w:before="0" w:after="8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¿Las decisiones ambientales quedan en manos de los mismos actores que ya las tomaban antes del proceso, o el espacio efectivamente redistribuye poder sobre el territorio?</w:t>
            </w:r>
          </w:p>
        </w:tc>
      </w:tr>
    </w:tbl>
    <w:p xmlns:wp14="http://schemas.microsoft.com/office/word/2010/wordml" w:rsidP="50EA1585" w14:paraId="56F47D14" wp14:textId="77777777">
      <w:pPr>
        <w:spacing w:before="320" w:after="140"/>
        <w:jc w:val="both"/>
        <w:rPr>
          <w:rFonts w:ascii="Calibri" w:hAnsi="Calibri" w:eastAsia="Calibri" w:cs="Calibri"/>
          <w:b w:val="1"/>
          <w:bCs w:val="1"/>
          <w:noProof w:val="0"/>
          <w:color w:val="2E5266"/>
          <w:sz w:val="22"/>
          <w:szCs w:val="22"/>
          <w:lang w:val="es-CO"/>
        </w:rPr>
      </w:pPr>
      <w:r w:rsidRPr="50EA1585" w:rsidR="50EA1585">
        <w:rPr>
          <w:rFonts w:ascii="Calibri" w:hAnsi="Calibri" w:eastAsia="Calibri" w:cs="Calibri"/>
          <w:b w:val="1"/>
          <w:bCs w:val="1"/>
          <w:noProof w:val="0"/>
          <w:color w:val="2E5266"/>
          <w:sz w:val="22"/>
          <w:szCs w:val="22"/>
          <w:lang w:val="es-CO"/>
        </w:rPr>
        <w:t>5. Resultado esperado</w:t>
      </w:r>
    </w:p>
    <w:p xmlns:wp14="http://schemas.microsoft.com/office/word/2010/wordml" w:rsidP="50EA1585" w14:paraId="50CC295B" wp14:textId="77777777">
      <w:pPr>
        <w:spacing w:before="0" w:after="80"/>
        <w:jc w:val="both"/>
        <w:rPr>
          <w:rFonts w:ascii="Calibri" w:hAnsi="Calibri" w:eastAsia="Calibri" w:cs="Calibri"/>
          <w:b w:val="0"/>
          <w:bCs w:val="0"/>
          <w:i w:val="0"/>
          <w:iCs w:val="0"/>
          <w:noProof w:val="0"/>
          <w:color w:val="000000"/>
          <w:sz w:val="22"/>
          <w:szCs w:val="22"/>
          <w:lang w:val="es-CO"/>
        </w:rPr>
      </w:pPr>
      <w:r w:rsidRPr="50EA1585" w:rsidR="50EA1585">
        <w:rPr>
          <w:rFonts w:ascii="Calibri" w:hAnsi="Calibri" w:eastAsia="Calibri" w:cs="Calibri"/>
          <w:b w:val="0"/>
          <w:bCs w:val="0"/>
          <w:i w:val="0"/>
          <w:iCs w:val="0"/>
          <w:noProof w:val="0"/>
          <w:color w:val="000000"/>
          <w:sz w:val="22"/>
          <w:szCs w:val="22"/>
          <w:lang w:val="es-CO"/>
        </w:rPr>
        <w:t>Una convocatoria revisada con mirada interseccional que les permita:</w:t>
      </w:r>
    </w:p>
    <w:p xmlns:wp14="http://schemas.microsoft.com/office/word/2010/wordml" w:rsidP="50EA1585" w14:paraId="31D18FD3" wp14:textId="77777777">
      <w:pPr>
        <w:pStyle w:val="ListParagraph"/>
        <w:numPr>
          <w:ilvl w:val="0"/>
          <w:numId w:val="2"/>
        </w:numPr>
        <w:spacing w:before="0" w:after="6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Identificar asimetrías de género, edad, etnia, territorio o capacidades en su convocatoria, sin tratarlas como variables aisladas.</w:t>
      </w:r>
    </w:p>
    <w:p xmlns:wp14="http://schemas.microsoft.com/office/word/2010/wordml" w:rsidP="50EA1585" w14:paraId="5DDC9C4B" wp14:textId="77777777">
      <w:pPr>
        <w:pStyle w:val="ListParagraph"/>
        <w:numPr>
          <w:ilvl w:val="0"/>
          <w:numId w:val="2"/>
        </w:numPr>
        <w:spacing w:before="0" w:after="6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Reconocer los cruces específicos del conflicto ambiental concreto que abordan, con nombres y situaciones del territorio.</w:t>
      </w:r>
    </w:p>
    <w:p xmlns:wp14="http://schemas.microsoft.com/office/word/2010/wordml" w:rsidP="50EA1585" w14:paraId="2E9E99AA" wp14:textId="77777777">
      <w:pPr>
        <w:pStyle w:val="ListParagraph"/>
        <w:numPr>
          <w:ilvl w:val="0"/>
          <w:numId w:val="2"/>
        </w:numPr>
        <w:spacing w:before="0" w:after="60"/>
        <w:jc w:val="both"/>
        <w:rPr>
          <w:rFonts w:ascii="Calibri" w:hAnsi="Calibri" w:eastAsia="Calibri" w:cs="Calibri"/>
          <w:noProof w:val="0"/>
          <w:sz w:val="22"/>
          <w:szCs w:val="22"/>
          <w:lang w:val="es-CO"/>
        </w:rPr>
      </w:pPr>
      <w:r w:rsidRPr="50EA1585" w:rsidR="50EA1585">
        <w:rPr>
          <w:rFonts w:ascii="Calibri" w:hAnsi="Calibri" w:eastAsia="Calibri" w:cs="Calibri"/>
          <w:noProof w:val="0"/>
          <w:sz w:val="22"/>
          <w:szCs w:val="22"/>
          <w:lang w:val="es-CO"/>
        </w:rPr>
        <w:t>Distinguir asistencia de incidencia y diseñar condiciones para que actores históricamente subalternizados puedan influir efectivamente en las decisiones ambientales.</w:t>
      </w:r>
    </w:p>
    <w:p xmlns:wp14="http://schemas.microsoft.com/office/word/2010/wordml" w:rsidP="50EA1585" w14:paraId="57C535D3" wp14:textId="1DA52BFA">
      <w:pPr>
        <w:pStyle w:val="ListParagraph"/>
        <w:numPr>
          <w:ilvl w:val="0"/>
          <w:numId w:val="2"/>
        </w:numPr>
        <w:spacing w:before="0" w:after="60"/>
        <w:jc w:val="both"/>
        <w:rPr>
          <w:rFonts w:ascii="Calibri" w:hAnsi="Calibri" w:eastAsia="Calibri" w:cs="Calibri"/>
          <w:noProof w:val="0"/>
          <w:sz w:val="22"/>
          <w:szCs w:val="22"/>
          <w:lang w:val="es-CO"/>
        </w:rPr>
      </w:pPr>
      <w:r w:rsidRPr="4B434707" w:rsidR="50EA1585">
        <w:rPr>
          <w:rFonts w:ascii="Calibri" w:hAnsi="Calibri" w:eastAsia="Calibri" w:cs="Calibri"/>
          <w:noProof w:val="0"/>
          <w:sz w:val="22"/>
          <w:szCs w:val="22"/>
          <w:lang w:val="es-CO"/>
        </w:rPr>
        <w:t>Construir compromisos colectivos del equipo coordinador frente a la equidad real —no solo formal— de la participación.</w:t>
      </w:r>
    </w:p>
    <w:p xmlns:wp14="http://schemas.microsoft.com/office/word/2010/wordml" w:rsidP="4B434707" w14:paraId="4107103B" wp14:textId="0B9682B5">
      <w:pPr>
        <w:pStyle w:val="Normal"/>
        <w:spacing w:before="0" w:after="80"/>
        <w:jc w:val="both"/>
        <w:rPr>
          <w:rFonts w:ascii="Calibri" w:hAnsi="Calibri" w:eastAsia="Calibri" w:cs="Calibri"/>
          <w:noProof w:val="0"/>
          <w:sz w:val="18"/>
          <w:szCs w:val="18"/>
          <w:lang w:val="es-CO"/>
        </w:rPr>
      </w:pPr>
      <w:r>
        <w:br/>
      </w:r>
      <w:r w:rsidRPr="3603CEAB" w:rsidR="196918A7">
        <w:rPr>
          <w:rFonts w:ascii="Calibri" w:hAnsi="Calibri" w:eastAsia="Calibri" w:cs="Calibri"/>
          <w:b w:val="1"/>
          <w:bCs w:val="1"/>
          <w:noProof w:val="0"/>
          <w:sz w:val="22"/>
          <w:szCs w:val="22"/>
          <w:lang w:val="es-CO"/>
        </w:rPr>
        <w:t>Fuente:</w:t>
      </w:r>
      <w:r w:rsidRPr="3603CEAB" w:rsidR="196918A7">
        <w:rPr>
          <w:rFonts w:ascii="Calibri" w:hAnsi="Calibri" w:eastAsia="Calibri" w:cs="Calibri"/>
          <w:noProof w:val="0"/>
          <w:sz w:val="22"/>
          <w:szCs w:val="22"/>
          <w:lang w:val="es-CO"/>
        </w:rPr>
        <w:t xml:space="preserve"> </w:t>
      </w:r>
      <w:r w:rsidRPr="3603CEAB" w:rsidR="64CD982F">
        <w:rPr>
          <w:rFonts w:ascii="Calibri" w:hAnsi="Calibri" w:eastAsia="Calibri" w:cs="Calibri"/>
          <w:noProof w:val="0"/>
          <w:sz w:val="22"/>
          <w:szCs w:val="22"/>
          <w:lang w:val="es-CO"/>
        </w:rPr>
        <w:t xml:space="preserve">Munévar </w:t>
      </w:r>
      <w:r w:rsidRPr="3603CEAB" w:rsidR="64CD982F">
        <w:rPr>
          <w:rFonts w:ascii="Calibri" w:hAnsi="Calibri" w:eastAsia="Calibri" w:cs="Calibri"/>
          <w:noProof w:val="0"/>
          <w:sz w:val="22"/>
          <w:szCs w:val="22"/>
          <w:lang w:val="es-CO"/>
        </w:rPr>
        <w:t>Munévar</w:t>
      </w:r>
      <w:r w:rsidRPr="3603CEAB" w:rsidR="64CD982F">
        <w:rPr>
          <w:rFonts w:ascii="Calibri" w:hAnsi="Calibri" w:eastAsia="Calibri" w:cs="Calibri"/>
          <w:noProof w:val="0"/>
          <w:sz w:val="22"/>
          <w:szCs w:val="22"/>
          <w:lang w:val="es-CO"/>
        </w:rPr>
        <w:t xml:space="preserve">, Dora Inés, Nicolás Torres Rodríguez y Ángela Patricia Martínez Sánchez. 2021. "Provocaciones </w:t>
      </w:r>
      <w:r w:rsidRPr="3603CEAB" w:rsidR="64CD982F">
        <w:rPr>
          <w:rFonts w:ascii="Calibri" w:hAnsi="Calibri" w:eastAsia="Calibri" w:cs="Calibri"/>
          <w:noProof w:val="0"/>
          <w:sz w:val="22"/>
          <w:szCs w:val="22"/>
          <w:lang w:val="es-CO"/>
        </w:rPr>
        <w:t>sentipensadas</w:t>
      </w:r>
      <w:r w:rsidRPr="3603CEAB" w:rsidR="64CD982F">
        <w:rPr>
          <w:rFonts w:ascii="Calibri" w:hAnsi="Calibri" w:eastAsia="Calibri" w:cs="Calibri"/>
          <w:noProof w:val="0"/>
          <w:sz w:val="22"/>
          <w:szCs w:val="22"/>
          <w:lang w:val="es-CO"/>
        </w:rPr>
        <w:t xml:space="preserve"> desde Colombia para cuestionar el 'enfoque diferencial'". </w:t>
      </w:r>
      <w:r w:rsidRPr="3603CEAB" w:rsidR="64CD982F">
        <w:rPr>
          <w:rFonts w:ascii="Calibri" w:hAnsi="Calibri" w:eastAsia="Calibri" w:cs="Calibri"/>
          <w:i w:val="1"/>
          <w:iCs w:val="1"/>
          <w:noProof w:val="0"/>
          <w:sz w:val="22"/>
          <w:szCs w:val="22"/>
          <w:lang w:val="es-CO"/>
        </w:rPr>
        <w:t>mundosplurales</w:t>
      </w:r>
      <w:r w:rsidRPr="3603CEAB" w:rsidR="64CD982F">
        <w:rPr>
          <w:rFonts w:ascii="Calibri" w:hAnsi="Calibri" w:eastAsia="Calibri" w:cs="Calibri"/>
          <w:i w:val="1"/>
          <w:iCs w:val="1"/>
          <w:noProof w:val="0"/>
          <w:sz w:val="22"/>
          <w:szCs w:val="22"/>
          <w:lang w:val="es-CO"/>
        </w:rPr>
        <w:t>. Revista Latinoamericana de Políticas y Acción Pública</w:t>
      </w:r>
      <w:r w:rsidRPr="3603CEAB" w:rsidR="64CD982F">
        <w:rPr>
          <w:rFonts w:ascii="Calibri" w:hAnsi="Calibri" w:eastAsia="Calibri" w:cs="Calibri"/>
          <w:noProof w:val="0"/>
          <w:sz w:val="22"/>
          <w:szCs w:val="22"/>
          <w:lang w:val="es-CO"/>
        </w:rPr>
        <w:t xml:space="preserve"> 8 (2): 9-34. FLACSO Sede Ecuador. </w:t>
      </w:r>
      <w:hyperlink r:id="Ra707d9ad48b9424e">
        <w:r w:rsidRPr="3603CEAB" w:rsidR="64CD982F">
          <w:rPr>
            <w:rStyle w:val="Hyperlink"/>
            <w:rFonts w:ascii="Calibri" w:hAnsi="Calibri" w:eastAsia="Calibri" w:cs="Calibri"/>
            <w:noProof w:val="0"/>
            <w:sz w:val="22"/>
            <w:szCs w:val="22"/>
            <w:lang w:val="es-CO"/>
          </w:rPr>
          <w:t>https://doi.org/10.17141/mundosplurales.2.2021.5015</w:t>
        </w:r>
      </w:hyperlink>
      <w:r>
        <w:br/>
      </w:r>
    </w:p>
    <w:sectPr>
      <w:pgSz w:w="12240" w:h="15840" w:orient="portrait"/>
      <w:pgMar w:top="1440" w:right="1440" w:bottom="1440" w:left="1440" w:header="708" w:footer="708" w:gutter="0"/>
      <w:pgNumType/>
      <w:docGrid w:linePitch="360"/>
      <w:cols w:num="1"/>
      <w:headerReference w:type="default" r:id="R066b46be6b0c496a"/>
      <w:footerReference w:type="default" r:id="Re304766ef8eb4ff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B434707" w:rsidTr="4B434707" w14:paraId="40CE1C07">
      <w:trPr>
        <w:trHeight w:val="300"/>
      </w:trPr>
      <w:tc>
        <w:tcPr>
          <w:tcW w:w="3120" w:type="dxa"/>
          <w:tcMar/>
        </w:tcPr>
        <w:p w:rsidR="4B434707" w:rsidP="4B434707" w:rsidRDefault="4B434707" w14:paraId="2181934A" w14:textId="34E4DADA">
          <w:pPr>
            <w:pStyle w:val="Header"/>
            <w:bidi w:val="0"/>
            <w:ind w:left="-115"/>
            <w:jc w:val="left"/>
          </w:pPr>
        </w:p>
      </w:tc>
      <w:tc>
        <w:tcPr>
          <w:tcW w:w="3120" w:type="dxa"/>
          <w:tcMar/>
        </w:tcPr>
        <w:p w:rsidR="4B434707" w:rsidP="4B434707" w:rsidRDefault="4B434707" w14:paraId="33C09179" w14:textId="5D821E34">
          <w:pPr>
            <w:pStyle w:val="Header"/>
            <w:bidi w:val="0"/>
            <w:jc w:val="center"/>
          </w:pPr>
        </w:p>
      </w:tc>
      <w:tc>
        <w:tcPr>
          <w:tcW w:w="3120" w:type="dxa"/>
          <w:tcMar/>
        </w:tcPr>
        <w:p w:rsidR="4B434707" w:rsidP="4B434707" w:rsidRDefault="4B434707" w14:paraId="3AEFBA6B" w14:textId="3FD00764">
          <w:pPr>
            <w:pStyle w:val="Header"/>
            <w:bidi w:val="0"/>
            <w:ind w:right="-115"/>
            <w:jc w:val="right"/>
          </w:pPr>
        </w:p>
      </w:tc>
    </w:tr>
  </w:tbl>
  <w:p w:rsidR="4B434707" w:rsidP="4B434707" w:rsidRDefault="4B434707" w14:paraId="69421908" w14:textId="3D887B1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B434707" w:rsidTr="4B434707" w14:paraId="21A8F19E">
      <w:trPr>
        <w:trHeight w:val="300"/>
      </w:trPr>
      <w:tc>
        <w:tcPr>
          <w:tcW w:w="3120" w:type="dxa"/>
          <w:tcMar/>
        </w:tcPr>
        <w:p w:rsidR="4B434707" w:rsidP="4B434707" w:rsidRDefault="4B434707" w14:paraId="3816AA68" w14:textId="5803D083">
          <w:pPr>
            <w:pStyle w:val="Header"/>
            <w:bidi w:val="0"/>
            <w:ind w:left="-115"/>
            <w:jc w:val="left"/>
          </w:pPr>
        </w:p>
      </w:tc>
      <w:tc>
        <w:tcPr>
          <w:tcW w:w="3120" w:type="dxa"/>
          <w:tcMar/>
        </w:tcPr>
        <w:p w:rsidR="4B434707" w:rsidP="4B434707" w:rsidRDefault="4B434707" w14:paraId="5C58ED31" w14:textId="1CA81BBB">
          <w:pPr>
            <w:pStyle w:val="Header"/>
            <w:bidi w:val="0"/>
            <w:jc w:val="center"/>
          </w:pPr>
        </w:p>
      </w:tc>
      <w:tc>
        <w:tcPr>
          <w:tcW w:w="3120" w:type="dxa"/>
          <w:tcMar/>
        </w:tcPr>
        <w:p w:rsidR="4B434707" w:rsidP="4B434707" w:rsidRDefault="4B434707" w14:paraId="6598014A" w14:textId="469D8485">
          <w:pPr>
            <w:pStyle w:val="Header"/>
            <w:bidi w:val="0"/>
            <w:ind w:right="-115"/>
            <w:jc w:val="right"/>
          </w:pPr>
        </w:p>
      </w:tc>
    </w:tr>
  </w:tbl>
  <w:p w:rsidR="4B434707" w:rsidP="4B434707" w:rsidRDefault="4B434707" w14:paraId="45ACA598" w14:textId="3F4C9584">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4222713"/>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5bba1efb"/>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rsids>
    <w:rsidRoot w:val="29298B9A"/>
    <w:rsid w:val="00C162CA"/>
    <w:rsid w:val="09BC46C3"/>
    <w:rsid w:val="0A4D9067"/>
    <w:rsid w:val="1705A233"/>
    <w:rsid w:val="196918A7"/>
    <w:rsid w:val="29298B9A"/>
    <w:rsid w:val="2C916736"/>
    <w:rsid w:val="2ED97149"/>
    <w:rsid w:val="2F53923D"/>
    <w:rsid w:val="321F5E75"/>
    <w:rsid w:val="3603CEAB"/>
    <w:rsid w:val="364E2061"/>
    <w:rsid w:val="364E2061"/>
    <w:rsid w:val="3E3E635C"/>
    <w:rsid w:val="40C4D28E"/>
    <w:rsid w:val="42F636F2"/>
    <w:rsid w:val="45EB8B88"/>
    <w:rsid w:val="4B434707"/>
    <w:rsid w:val="5090B755"/>
    <w:rsid w:val="50EA1585"/>
    <w:rsid w:val="59BD901E"/>
    <w:rsid w:val="63AEEA61"/>
    <w:rsid w:val="64CD982F"/>
    <w:rsid w:val="650EFAEB"/>
    <w:rsid w:val="65473BC0"/>
    <w:rsid w:val="6726C56D"/>
    <w:rsid w:val="6C82FD9B"/>
    <w:rsid w:val="6C8FF10C"/>
    <w:rsid w:val="6C97CCBC"/>
    <w:rsid w:val="6D574004"/>
    <w:rsid w:val="759D4B17"/>
    <w:rsid w:val="76008D72"/>
  </w:rsids>
  <w14:docId w14:val="47C73E2F"/>
  <w15:docId w15:val="{ED39E310-E467-4A4A-8696-D7E6A45931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w:type="paragraph" w:styleId="Header">
    <w:uiPriority w:val="99"/>
    <w:name w:val="header"/>
    <w:basedOn w:val="Normal"/>
    <w:unhideWhenUsed/>
    <w:rsid w:val="4B434707"/>
    <w:pPr>
      <w:tabs>
        <w:tab w:val="center" w:leader="none" w:pos="4680"/>
        <w:tab w:val="right" w:leader="none" w:pos="9360"/>
      </w:tabs>
      <w:spacing w:after="0" w:line="240" w:lineRule="auto"/>
    </w:pPr>
  </w:style>
  <w:style w:type="paragraph" w:styleId="Footer">
    <w:uiPriority w:val="99"/>
    <w:name w:val="footer"/>
    <w:basedOn w:val="Normal"/>
    <w:unhideWhenUsed/>
    <w:rsid w:val="4B434707"/>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 Type="http://schemas.microsoft.com/office/2016/09/relationships/commentsIds" Target="/word/commentsIds.xml" Id="Rb7f5b59cb91348af" /><Relationship Type="http://schemas.microsoft.com/office/2011/relationships/commentsExtended" Target="/word/commentsExtended.xml" Id="Rbed731e045254b95" /><Relationship Type="http://schemas.microsoft.com/office/2011/relationships/people" Target="/word/people.xml" Id="R4fcc25c03b534e26" /><Relationship Type="http://schemas.openxmlformats.org/officeDocument/2006/relationships/header" Target="/word/header.xml" Id="R066b46be6b0c496a" /><Relationship Type="http://schemas.openxmlformats.org/officeDocument/2006/relationships/footer" Target="/word/footer.xml" Id="Re304766ef8eb4ffb" /><Relationship Type="http://schemas.openxmlformats.org/officeDocument/2006/relationships/hyperlink" Target="https://doi.org/10.17141/mundosplurales.2.2021.5015" TargetMode="External" Id="Ra707d9ad48b9424e"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Maria Alejandra Lopez</lastModifiedBy>
  <revision>8</revision>
  <dcterms:created xsi:type="dcterms:W3CDTF">2026-05-07T18:55:49.1000000Z</dcterms:created>
  <dcterms:modified xsi:type="dcterms:W3CDTF">2026-05-14T22:11:10.4672184Z</dcterms:modified>
</coreProperties>
</file>

<file path=docProps/custom.xml><?xml version="1.0" encoding="utf-8"?>
<Properties xmlns="http://schemas.openxmlformats.org/officeDocument/2006/custom-properties" xmlns:vt="http://schemas.openxmlformats.org/officeDocument/2006/docPropsVTypes"/>
</file>